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58"/>
        <w:gridCol w:w="4771"/>
      </w:tblGrid>
      <w:tr w:rsidR="00521BFD" w:rsidTr="00210FBA">
        <w:tc>
          <w:tcPr>
            <w:tcW w:w="5108" w:type="dxa"/>
            <w:shd w:val="clear" w:color="auto" w:fill="auto"/>
          </w:tcPr>
          <w:p w:rsidR="00521BFD" w:rsidRDefault="00521BFD" w:rsidP="00210FBA">
            <w:pPr>
              <w:pStyle w:val="af7"/>
            </w:pPr>
            <w:r>
              <w:t>Схвалено рішенням</w:t>
            </w:r>
          </w:p>
          <w:p w:rsidR="00521BFD" w:rsidRDefault="00521BFD" w:rsidP="00210FBA">
            <w:pPr>
              <w:pStyle w:val="af7"/>
            </w:pPr>
            <w:r>
              <w:t>педагогічної ради</w:t>
            </w:r>
          </w:p>
          <w:p w:rsidR="00521BFD" w:rsidRDefault="00521BFD" w:rsidP="00210FBA">
            <w:pPr>
              <w:pStyle w:val="af7"/>
            </w:pPr>
            <w:r>
              <w:t>Протокол № 1  від 31.08.2020 року</w:t>
            </w:r>
          </w:p>
          <w:p w:rsidR="00521BFD" w:rsidRDefault="00521BFD" w:rsidP="00210FBA">
            <w:pPr>
              <w:pStyle w:val="af7"/>
            </w:pPr>
            <w:r>
              <w:t>Голова педагогічної ради</w:t>
            </w:r>
          </w:p>
          <w:p w:rsidR="00521BFD" w:rsidRDefault="00521BFD" w:rsidP="00210FBA">
            <w:pPr>
              <w:pStyle w:val="af7"/>
            </w:pPr>
            <w:r>
              <w:t>___________ Тетяна ЯРЕМКО</w:t>
            </w:r>
          </w:p>
          <w:p w:rsidR="00521BFD" w:rsidRDefault="00521BFD" w:rsidP="00210FBA">
            <w:pPr>
              <w:pStyle w:val="af7"/>
            </w:pPr>
          </w:p>
        </w:tc>
        <w:tc>
          <w:tcPr>
            <w:tcW w:w="4915" w:type="dxa"/>
            <w:shd w:val="clear" w:color="auto" w:fill="auto"/>
          </w:tcPr>
          <w:p w:rsidR="00521BFD" w:rsidRDefault="00521BFD" w:rsidP="00210FBA">
            <w:pPr>
              <w:pStyle w:val="TableParagraph"/>
              <w:spacing w:line="253" w:lineRule="exact"/>
              <w:ind w:left="0"/>
            </w:pPr>
            <w:r>
              <w:rPr>
                <w:rFonts w:ascii="Times New Roman" w:hAnsi="Times New Roman" w:cs="Times New Roman"/>
              </w:rPr>
              <w:t>ЗАТВЕРДЖЕНО</w:t>
            </w:r>
          </w:p>
          <w:p w:rsidR="00521BFD" w:rsidRDefault="00521BFD" w:rsidP="00210FBA">
            <w:pPr>
              <w:pStyle w:val="TableParagraph"/>
              <w:spacing w:before="9" w:line="216" w:lineRule="auto"/>
              <w:ind w:left="0" w:right="401"/>
            </w:pPr>
            <w:r>
              <w:rPr>
                <w:rFonts w:ascii="Times New Roman" w:hAnsi="Times New Roman" w:cs="Times New Roman"/>
              </w:rPr>
              <w:t xml:space="preserve">наказом директора </w:t>
            </w:r>
          </w:p>
          <w:p w:rsidR="00521BFD" w:rsidRDefault="00521BFD" w:rsidP="00210FBA">
            <w:pPr>
              <w:pStyle w:val="TableParagraph"/>
              <w:spacing w:before="9" w:line="216" w:lineRule="auto"/>
              <w:ind w:left="0" w:right="401"/>
            </w:pPr>
            <w:r>
              <w:rPr>
                <w:rFonts w:ascii="Times New Roman" w:hAnsi="Times New Roman" w:cs="Times New Roman"/>
              </w:rPr>
              <w:t xml:space="preserve">Ізюмської загальноосвітньої школи І-ІІІ ступенів №6 Ізюмської міської ради </w:t>
            </w:r>
          </w:p>
          <w:p w:rsidR="00521BFD" w:rsidRDefault="00521BFD" w:rsidP="00210FBA">
            <w:pPr>
              <w:pStyle w:val="TableParagraph"/>
              <w:spacing w:before="9" w:line="216" w:lineRule="auto"/>
              <w:ind w:left="0" w:right="401"/>
            </w:pPr>
            <w:r>
              <w:rPr>
                <w:rFonts w:ascii="Times New Roman" w:hAnsi="Times New Roman" w:cs="Times New Roman"/>
              </w:rPr>
              <w:t>Харківської області</w:t>
            </w:r>
          </w:p>
          <w:p w:rsidR="00521BFD" w:rsidRDefault="00521BFD" w:rsidP="00210FBA">
            <w:pPr>
              <w:pStyle w:val="TableParagraph"/>
              <w:tabs>
                <w:tab w:val="left" w:pos="2275"/>
                <w:tab w:val="left" w:pos="4630"/>
              </w:tabs>
              <w:spacing w:before="223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Наказ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від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521BFD" w:rsidRDefault="00521BFD" w:rsidP="00210FBA">
            <w:pPr>
              <w:pStyle w:val="TableParagraph"/>
              <w:spacing w:before="224" w:line="260" w:lineRule="exact"/>
              <w:ind w:left="0"/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</w:t>
            </w:r>
            <w:r>
              <w:rPr>
                <w:rFonts w:ascii="Times New Roman" w:hAnsi="Times New Roman" w:cs="Times New Roman"/>
              </w:rPr>
              <w:t>Тетя</w:t>
            </w:r>
            <w:proofErr w:type="spellEnd"/>
            <w:r>
              <w:rPr>
                <w:rFonts w:ascii="Times New Roman" w:hAnsi="Times New Roman" w:cs="Times New Roman"/>
              </w:rPr>
              <w:t>на ЯРЕМКО</w:t>
            </w:r>
          </w:p>
          <w:p w:rsidR="00521BFD" w:rsidRDefault="00521BFD" w:rsidP="00210FBA">
            <w:pPr>
              <w:pStyle w:val="TableParagraph"/>
              <w:tabs>
                <w:tab w:val="left" w:pos="2691"/>
              </w:tabs>
              <w:snapToGrid w:val="0"/>
              <w:spacing w:after="200" w:line="250" w:lineRule="exact"/>
              <w:ind w:left="961"/>
            </w:pPr>
            <w:r>
              <w:rPr>
                <w:rFonts w:ascii="Times New Roman" w:hAnsi="Times New Roman" w:cs="Times New Roman"/>
                <w:i/>
                <w:szCs w:val="28"/>
              </w:rPr>
              <w:tab/>
            </w:r>
          </w:p>
        </w:tc>
      </w:tr>
    </w:tbl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00439D" w:rsidRDefault="0000439D">
      <w:pPr>
        <w:pStyle w:val="normal"/>
        <w:jc w:val="both"/>
        <w:rPr>
          <w:b/>
          <w:color w:val="000000"/>
        </w:rPr>
      </w:pPr>
    </w:p>
    <w:p w:rsidR="009A12CB" w:rsidRPr="009A12CB" w:rsidRDefault="00613C26" w:rsidP="009A12CB">
      <w:pPr>
        <w:pStyle w:val="normal"/>
        <w:jc w:val="center"/>
        <w:rPr>
          <w:b/>
          <w:color w:val="000000"/>
          <w:sz w:val="36"/>
          <w:szCs w:val="72"/>
        </w:rPr>
      </w:pPr>
      <w:r w:rsidRPr="009A12CB">
        <w:rPr>
          <w:b/>
          <w:color w:val="000000"/>
          <w:sz w:val="36"/>
          <w:szCs w:val="72"/>
        </w:rPr>
        <w:t>Шкільна програма моніторингу</w:t>
      </w:r>
    </w:p>
    <w:p w:rsidR="00613C26" w:rsidRPr="009A12CB" w:rsidRDefault="00613C26" w:rsidP="009A12CB">
      <w:pPr>
        <w:pStyle w:val="normal"/>
        <w:jc w:val="center"/>
        <w:rPr>
          <w:b/>
          <w:color w:val="000000"/>
          <w:sz w:val="36"/>
          <w:szCs w:val="72"/>
        </w:rPr>
      </w:pPr>
      <w:r w:rsidRPr="009A12CB">
        <w:rPr>
          <w:b/>
          <w:color w:val="000000"/>
          <w:sz w:val="36"/>
          <w:szCs w:val="72"/>
        </w:rPr>
        <w:t xml:space="preserve"> освітньої діяльності та </w:t>
      </w:r>
      <w:r w:rsidR="009A12CB" w:rsidRPr="009A12CB">
        <w:rPr>
          <w:b/>
          <w:color w:val="000000"/>
          <w:sz w:val="36"/>
          <w:szCs w:val="72"/>
        </w:rPr>
        <w:t xml:space="preserve"> </w:t>
      </w:r>
      <w:r w:rsidRPr="009A12CB">
        <w:rPr>
          <w:b/>
          <w:color w:val="000000"/>
          <w:sz w:val="36"/>
          <w:szCs w:val="72"/>
        </w:rPr>
        <w:t xml:space="preserve">якості освіти </w:t>
      </w:r>
    </w:p>
    <w:p w:rsidR="0000439D" w:rsidRDefault="00613C26">
      <w:pPr>
        <w:pStyle w:val="normal"/>
        <w:jc w:val="center"/>
        <w:rPr>
          <w:b/>
          <w:color w:val="000000"/>
          <w:sz w:val="72"/>
          <w:szCs w:val="72"/>
        </w:rPr>
      </w:pPr>
      <w:r w:rsidRPr="009A12CB">
        <w:rPr>
          <w:b/>
          <w:color w:val="000000"/>
          <w:sz w:val="36"/>
          <w:szCs w:val="72"/>
        </w:rPr>
        <w:t>Ізюмської загальноосвітньої школи І- ІІІ ступенів №6 Ізюмської міської ради Харківської області</w:t>
      </w:r>
      <w:r>
        <w:br w:type="page"/>
      </w:r>
    </w:p>
    <w:p w:rsidR="0000439D" w:rsidRDefault="00613C26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 Мета, завдання, функції моніторингу</w:t>
      </w:r>
    </w:p>
    <w:p w:rsidR="0000439D" w:rsidRDefault="0000439D">
      <w:pPr>
        <w:pStyle w:val="normal"/>
        <w:ind w:firstLine="709"/>
        <w:jc w:val="both"/>
        <w:rPr>
          <w:color w:val="000000"/>
        </w:rPr>
      </w:pP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Методологічні основи </w:t>
      </w:r>
      <w:proofErr w:type="spellStart"/>
      <w:r>
        <w:rPr>
          <w:color w:val="000000"/>
        </w:rPr>
        <w:t>внутрішкільного</w:t>
      </w:r>
      <w:proofErr w:type="spellEnd"/>
      <w:r>
        <w:rPr>
          <w:color w:val="000000"/>
        </w:rPr>
        <w:t xml:space="preserve"> моніторингу:</w:t>
      </w:r>
    </w:p>
    <w:p w:rsidR="0000439D" w:rsidRDefault="00613C26">
      <w:pPr>
        <w:pStyle w:val="normal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системний підхід до освіти;</w:t>
      </w:r>
    </w:p>
    <w:p w:rsidR="0000439D" w:rsidRDefault="00613C26">
      <w:pPr>
        <w:pStyle w:val="normal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сучасні теорії управління;</w:t>
      </w:r>
    </w:p>
    <w:p w:rsidR="0000439D" w:rsidRDefault="00613C26">
      <w:pPr>
        <w:pStyle w:val="normal"/>
        <w:numPr>
          <w:ilvl w:val="0"/>
          <w:numId w:val="15"/>
        </w:numPr>
        <w:jc w:val="both"/>
        <w:rPr>
          <w:color w:val="000000"/>
        </w:rPr>
      </w:pPr>
      <w:proofErr w:type="spellStart"/>
      <w:r>
        <w:rPr>
          <w:color w:val="000000"/>
        </w:rPr>
        <w:t>діяльнісний</w:t>
      </w:r>
      <w:proofErr w:type="spellEnd"/>
      <w:r>
        <w:rPr>
          <w:color w:val="000000"/>
        </w:rPr>
        <w:t xml:space="preserve">, особистісно-зорієнтований, </w:t>
      </w:r>
      <w:proofErr w:type="spellStart"/>
      <w:r>
        <w:rPr>
          <w:color w:val="000000"/>
        </w:rPr>
        <w:t>компетентнісний</w:t>
      </w:r>
      <w:proofErr w:type="spellEnd"/>
      <w:r>
        <w:rPr>
          <w:color w:val="000000"/>
        </w:rPr>
        <w:t xml:space="preserve"> підходи до освітнього процесу.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Моніторинг здійснюється на основі таких </w:t>
      </w:r>
      <w:r>
        <w:rPr>
          <w:b/>
          <w:color w:val="000000"/>
        </w:rPr>
        <w:t>принципів</w:t>
      </w:r>
      <w:r>
        <w:rPr>
          <w:color w:val="000000"/>
        </w:rPr>
        <w:t>:</w:t>
      </w:r>
    </w:p>
    <w:p w:rsidR="0000439D" w:rsidRDefault="00613C26">
      <w:pPr>
        <w:pStyle w:val="normal"/>
        <w:numPr>
          <w:ilvl w:val="0"/>
          <w:numId w:val="16"/>
        </w:numPr>
        <w:jc w:val="both"/>
        <w:rPr>
          <w:color w:val="000000"/>
        </w:rPr>
      </w:pPr>
      <w:r>
        <w:rPr>
          <w:i/>
          <w:color w:val="000000"/>
        </w:rPr>
        <w:t>гуманістична спрямованість</w:t>
      </w:r>
      <w:r>
        <w:rPr>
          <w:color w:val="000000"/>
        </w:rPr>
        <w:t xml:space="preserve"> - створення обстановки доброзичливості, довіри,  поваги до особистості, неможливості використання результатів досліджень для застосування будь-яких репресивних дій до учасників навчально-виховного процесу;</w:t>
      </w:r>
    </w:p>
    <w:p w:rsidR="0000439D" w:rsidRDefault="00613C26">
      <w:pPr>
        <w:pStyle w:val="normal"/>
        <w:numPr>
          <w:ilvl w:val="0"/>
          <w:numId w:val="16"/>
        </w:numPr>
        <w:jc w:val="both"/>
        <w:rPr>
          <w:color w:val="000000"/>
        </w:rPr>
      </w:pPr>
      <w:r>
        <w:rPr>
          <w:i/>
          <w:color w:val="000000"/>
        </w:rPr>
        <w:t xml:space="preserve">об’єктивність </w:t>
      </w:r>
      <w:r>
        <w:rPr>
          <w:b/>
          <w:color w:val="000000"/>
        </w:rPr>
        <w:t xml:space="preserve">- </w:t>
      </w:r>
      <w:r>
        <w:rPr>
          <w:color w:val="000000"/>
        </w:rPr>
        <w:t>уникнення суб’єктивних оцінок,  створення рівних умов для всіх учасників  навчально-виховного процесу;</w:t>
      </w:r>
    </w:p>
    <w:p w:rsidR="0000439D" w:rsidRDefault="00613C26">
      <w:pPr>
        <w:pStyle w:val="normal"/>
        <w:numPr>
          <w:ilvl w:val="0"/>
          <w:numId w:val="16"/>
        </w:numPr>
        <w:jc w:val="both"/>
        <w:rPr>
          <w:color w:val="000000"/>
        </w:rPr>
      </w:pPr>
      <w:r>
        <w:rPr>
          <w:i/>
          <w:color w:val="000000"/>
        </w:rPr>
        <w:t>системність</w:t>
      </w:r>
      <w:r>
        <w:rPr>
          <w:color w:val="000000"/>
        </w:rPr>
        <w:t xml:space="preserve"> – комплексний підхід до  вивчення різних аспектів життя навчального закладу, опрацювання та аналізу результатів досліджень;</w:t>
      </w:r>
    </w:p>
    <w:p w:rsidR="0000439D" w:rsidRDefault="00613C26">
      <w:pPr>
        <w:pStyle w:val="normal"/>
        <w:numPr>
          <w:ilvl w:val="0"/>
          <w:numId w:val="16"/>
        </w:numPr>
        <w:jc w:val="both"/>
        <w:rPr>
          <w:color w:val="000000"/>
        </w:rPr>
      </w:pPr>
      <w:proofErr w:type="spellStart"/>
      <w:r>
        <w:rPr>
          <w:i/>
          <w:color w:val="000000"/>
        </w:rPr>
        <w:t>валідність</w:t>
      </w:r>
      <w:proofErr w:type="spellEnd"/>
      <w:r>
        <w:rPr>
          <w:color w:val="000000"/>
        </w:rPr>
        <w:t xml:space="preserve"> - відповідність пропонованих контрольних завдань змісту навчальної програми, чіткість критеріїв виміру  й оцінки,  дотримання визначених процедур проведення та опрацювання результатів;</w:t>
      </w:r>
    </w:p>
    <w:p w:rsidR="0000439D" w:rsidRDefault="00613C26">
      <w:pPr>
        <w:pStyle w:val="normal"/>
        <w:numPr>
          <w:ilvl w:val="0"/>
          <w:numId w:val="16"/>
        </w:numPr>
        <w:jc w:val="both"/>
        <w:rPr>
          <w:color w:val="000000"/>
        </w:rPr>
      </w:pPr>
      <w:r>
        <w:rPr>
          <w:i/>
          <w:color w:val="000000"/>
        </w:rPr>
        <w:t xml:space="preserve">надійність </w:t>
      </w:r>
      <w:r>
        <w:rPr>
          <w:color w:val="000000"/>
        </w:rPr>
        <w:t>результатів, що  означає можливість підтвердження  позитивних і негативних результатів  різними способами контролю; шляхом повторного контролю,  який проводять  інші особи;</w:t>
      </w:r>
    </w:p>
    <w:p w:rsidR="0000439D" w:rsidRDefault="00613C26">
      <w:pPr>
        <w:pStyle w:val="normal"/>
        <w:numPr>
          <w:ilvl w:val="0"/>
          <w:numId w:val="16"/>
        </w:numPr>
        <w:jc w:val="both"/>
        <w:rPr>
          <w:color w:val="000000"/>
        </w:rPr>
      </w:pPr>
      <w:r>
        <w:rPr>
          <w:i/>
          <w:color w:val="000000"/>
        </w:rPr>
        <w:t>врахування психолого-педагогічних особливостей</w:t>
      </w:r>
      <w:r>
        <w:rPr>
          <w:color w:val="000000"/>
        </w:rPr>
        <w:t xml:space="preserve"> шляхом диференціації  контрольних та діагностичних завдань;</w:t>
      </w:r>
    </w:p>
    <w:p w:rsidR="0000439D" w:rsidRDefault="00613C26">
      <w:pPr>
        <w:pStyle w:val="normal"/>
        <w:numPr>
          <w:ilvl w:val="0"/>
          <w:numId w:val="16"/>
        </w:numPr>
        <w:jc w:val="both"/>
        <w:rPr>
          <w:color w:val="000000"/>
        </w:rPr>
      </w:pPr>
      <w:r>
        <w:rPr>
          <w:i/>
          <w:color w:val="000000"/>
        </w:rPr>
        <w:t>рефлексія,</w:t>
      </w:r>
      <w:r>
        <w:rPr>
          <w:color w:val="000000"/>
        </w:rPr>
        <w:t xml:space="preserve"> що проявляється в аналізі та оцінці отриманих результатів на всіх рівнях управління, здійсненні самоаналізу й  самооцінки.</w:t>
      </w:r>
    </w:p>
    <w:p w:rsidR="0000439D" w:rsidRDefault="0000439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</w:p>
    <w:p w:rsidR="0000439D" w:rsidRDefault="00613C26">
      <w:pPr>
        <w:pStyle w:val="normal"/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Мета </w:t>
      </w:r>
      <w:proofErr w:type="spellStart"/>
      <w:r>
        <w:rPr>
          <w:color w:val="000000"/>
        </w:rPr>
        <w:t>внутрішкільного</w:t>
      </w:r>
      <w:proofErr w:type="spellEnd"/>
      <w:r>
        <w:rPr>
          <w:color w:val="000000"/>
        </w:rPr>
        <w:t xml:space="preserve"> моніторингу  - ефективне </w:t>
      </w:r>
      <w:proofErr w:type="spellStart"/>
      <w:r>
        <w:rPr>
          <w:color w:val="000000"/>
        </w:rPr>
        <w:t>відслідковування</w:t>
      </w:r>
      <w:proofErr w:type="spellEnd"/>
      <w:r>
        <w:rPr>
          <w:color w:val="000000"/>
        </w:rPr>
        <w:t xml:space="preserve">  функціонування навчально-виховного простору закладі освіти,  виявлення динаміки його змін, розробка прогнозу та пропозицій для забезпечення розвитку школи, накопичення даних , необхідних для періодичного </w:t>
      </w:r>
      <w:proofErr w:type="spellStart"/>
      <w:r>
        <w:rPr>
          <w:color w:val="000000"/>
        </w:rPr>
        <w:t>самооцінювання</w:t>
      </w:r>
      <w:proofErr w:type="spellEnd"/>
      <w:r>
        <w:rPr>
          <w:color w:val="000000"/>
        </w:rPr>
        <w:t xml:space="preserve"> якості освітніх послуг; аналітичне  узагальнення результатів діяльності.</w:t>
      </w:r>
    </w:p>
    <w:p w:rsidR="0000439D" w:rsidRDefault="0000439D">
      <w:pPr>
        <w:pStyle w:val="normal"/>
        <w:jc w:val="both"/>
        <w:rPr>
          <w:color w:val="000000"/>
        </w:rPr>
      </w:pPr>
    </w:p>
    <w:p w:rsidR="0000439D" w:rsidRDefault="00613C26">
      <w:pPr>
        <w:pStyle w:val="normal"/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Завдання </w:t>
      </w:r>
      <w:proofErr w:type="spellStart"/>
      <w:r>
        <w:rPr>
          <w:color w:val="000000"/>
        </w:rPr>
        <w:t>внутрішкільного</w:t>
      </w:r>
      <w:proofErr w:type="spellEnd"/>
      <w:r>
        <w:rPr>
          <w:color w:val="000000"/>
        </w:rPr>
        <w:t xml:space="preserve"> моніторингу:</w:t>
      </w:r>
    </w:p>
    <w:p w:rsidR="0000439D" w:rsidRDefault="00613C26">
      <w:pPr>
        <w:pStyle w:val="normal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визначення якості навчальних досягнень учнів; з’ясування динаміки їх змін;</w:t>
      </w:r>
    </w:p>
    <w:p w:rsidR="0000439D" w:rsidRDefault="00613C26">
      <w:pPr>
        <w:pStyle w:val="normal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виявлення  проблем , пов’язаних з організацією освітнього процесу та рівнем кваліфікації педагогів;</w:t>
      </w:r>
    </w:p>
    <w:p w:rsidR="0000439D" w:rsidRDefault="00613C26">
      <w:pPr>
        <w:pStyle w:val="normal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установлення та нагромадження даних про фізичний, психічний, соціальний  і  духовний розвиток учнів;  встановлення проблем їхнього особистісного розвитку; </w:t>
      </w:r>
    </w:p>
    <w:p w:rsidR="0000439D" w:rsidRDefault="00613C26">
      <w:pPr>
        <w:pStyle w:val="normal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характеристика якості виховного простору, а також фінансового, кадрового, навчально-методичного та матеріально-технічного забезпечення навчального закладу.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Відповідно до цього визначені діагностична, прогностична, інформаційна, управлінська, оцінювальна, корегувальна функції моніторингу.</w:t>
      </w:r>
    </w:p>
    <w:p w:rsidR="0000439D" w:rsidRDefault="0000439D">
      <w:pPr>
        <w:pStyle w:val="normal"/>
        <w:ind w:firstLine="709"/>
        <w:jc w:val="both"/>
        <w:rPr>
          <w:color w:val="000000"/>
        </w:rPr>
      </w:pPr>
    </w:p>
    <w:p w:rsidR="0000439D" w:rsidRDefault="00613C26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2. Об’єкти та предмет моніторингу</w:t>
      </w:r>
    </w:p>
    <w:p w:rsidR="0000439D" w:rsidRDefault="0000439D">
      <w:pPr>
        <w:pStyle w:val="normal"/>
        <w:ind w:firstLine="709"/>
        <w:jc w:val="both"/>
        <w:rPr>
          <w:color w:val="000000"/>
        </w:rPr>
      </w:pP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>Об’єкти моніторингу:</w:t>
      </w:r>
    </w:p>
    <w:p w:rsidR="0000439D" w:rsidRDefault="00613C26"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освітнє середовище;</w:t>
      </w:r>
    </w:p>
    <w:p w:rsidR="0000439D" w:rsidRDefault="00613C26"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освітній процес;</w:t>
      </w:r>
    </w:p>
    <w:p w:rsidR="0000439D" w:rsidRDefault="00613C26"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результати освітньої діяльності.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>Предмет моніторингу</w:t>
      </w:r>
      <w:r>
        <w:rPr>
          <w:color w:val="000000"/>
        </w:rPr>
        <w:t>: динаміка змін освітньої системи та умов її діяльності.</w:t>
      </w:r>
    </w:p>
    <w:p w:rsidR="0000439D" w:rsidRDefault="0000439D">
      <w:pPr>
        <w:pStyle w:val="normal"/>
        <w:ind w:firstLine="709"/>
        <w:jc w:val="both"/>
        <w:rPr>
          <w:color w:val="000000"/>
        </w:rPr>
      </w:pPr>
    </w:p>
    <w:p w:rsidR="0000439D" w:rsidRDefault="00613C26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3. Види, напрями моніторингу</w:t>
      </w:r>
    </w:p>
    <w:p w:rsidR="0000439D" w:rsidRDefault="0000439D">
      <w:pPr>
        <w:pStyle w:val="normal"/>
        <w:ind w:firstLine="709"/>
        <w:jc w:val="both"/>
        <w:rPr>
          <w:color w:val="000000"/>
        </w:rPr>
      </w:pPr>
    </w:p>
    <w:p w:rsidR="0000439D" w:rsidRDefault="00613C26">
      <w:pPr>
        <w:pStyle w:val="normal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Види моніторингу: </w:t>
      </w:r>
    </w:p>
    <w:p w:rsidR="0000439D" w:rsidRDefault="00613C2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"/>
        </w:tabs>
        <w:ind w:left="440" w:right="260"/>
        <w:jc w:val="both"/>
      </w:pPr>
      <w:r>
        <w:rPr>
          <w:color w:val="000000"/>
        </w:rPr>
        <w:t>Предметний (базовий) моніторинг, який полягає у відстеженні відповідності освітнього рівня учнів із базових предметів вимогам державних стандартів.</w:t>
      </w:r>
    </w:p>
    <w:p w:rsidR="0000439D" w:rsidRDefault="00613C2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left="440"/>
      </w:pPr>
      <w:r>
        <w:rPr>
          <w:color w:val="000000"/>
        </w:rPr>
        <w:t xml:space="preserve">Проблемний моніторинг пов’язаний з окремими аспектами оновлення та модернізації освітньої системи за напрямами: </w:t>
      </w:r>
    </w:p>
    <w:p w:rsidR="0000439D" w:rsidRDefault="00613C26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left="440" w:firstLine="280"/>
        <w:rPr>
          <w:color w:val="000000"/>
        </w:rPr>
      </w:pPr>
      <w:r>
        <w:rPr>
          <w:color w:val="000000"/>
        </w:rPr>
        <w:t xml:space="preserve"> підвищення рівня навчальних досягнень учнів;</w:t>
      </w:r>
    </w:p>
    <w:p w:rsidR="0000439D" w:rsidRDefault="00613C26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left="440" w:firstLine="280"/>
        <w:rPr>
          <w:color w:val="000000"/>
        </w:rPr>
      </w:pPr>
      <w:r>
        <w:rPr>
          <w:color w:val="000000"/>
        </w:rPr>
        <w:t>розвиток творчих здібностей учнів;</w:t>
      </w:r>
    </w:p>
    <w:p w:rsidR="0000439D" w:rsidRDefault="00613C26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left="440" w:firstLine="280"/>
        <w:rPr>
          <w:color w:val="000000"/>
        </w:rPr>
      </w:pPr>
      <w:r>
        <w:rPr>
          <w:color w:val="000000"/>
        </w:rPr>
        <w:t>діагностика навчання учнів із низькою успішністю;</w:t>
      </w:r>
    </w:p>
    <w:p w:rsidR="0000439D" w:rsidRDefault="00613C26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left="440" w:firstLine="280"/>
        <w:rPr>
          <w:color w:val="000000"/>
        </w:rPr>
      </w:pPr>
      <w:r>
        <w:rPr>
          <w:color w:val="000000"/>
        </w:rPr>
        <w:t>рівень професійної компетентності педагогічних кадрів.</w:t>
      </w:r>
    </w:p>
    <w:p w:rsidR="0000439D" w:rsidRDefault="00613C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03"/>
        </w:tabs>
        <w:ind w:left="440" w:hanging="280"/>
        <w:jc w:val="both"/>
        <w:rPr>
          <w:color w:val="000000"/>
        </w:rPr>
      </w:pPr>
      <w:r>
        <w:rPr>
          <w:color w:val="000000"/>
        </w:rPr>
        <w:t>3. Індивідуальний моніторинг пов’язаний із спостереженням діяльності окремих учнів або педагогів.</w:t>
      </w:r>
    </w:p>
    <w:p w:rsidR="0000439D" w:rsidRDefault="00613C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60" w:firstLine="440"/>
        <w:jc w:val="both"/>
        <w:rPr>
          <w:color w:val="000000"/>
        </w:rPr>
      </w:pPr>
      <w:r>
        <w:rPr>
          <w:color w:val="000000"/>
        </w:rPr>
        <w:t>Залежно від мети дослідження виділяємо такі напрями моніторингу:</w:t>
      </w:r>
    </w:p>
    <w:p w:rsidR="0000439D" w:rsidRDefault="00613C26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93"/>
        <w:jc w:val="both"/>
      </w:pPr>
      <w:r>
        <w:rPr>
          <w:color w:val="000000"/>
        </w:rPr>
        <w:t>діагностичний моніторинг; мета — визначення рівня навченості учня;</w:t>
      </w:r>
    </w:p>
    <w:p w:rsidR="0000439D" w:rsidRDefault="00613C26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93"/>
        <w:jc w:val="both"/>
      </w:pPr>
      <w:r>
        <w:rPr>
          <w:color w:val="000000"/>
        </w:rPr>
        <w:t xml:space="preserve">статистичний; мета — отримати показники </w:t>
      </w:r>
      <w:r>
        <w:rPr>
          <w:i/>
          <w:color w:val="000000"/>
          <w:highlight w:val="white"/>
        </w:rPr>
        <w:t xml:space="preserve">одночасно </w:t>
      </w:r>
      <w:r>
        <w:rPr>
          <w:color w:val="000000"/>
        </w:rPr>
        <w:t>за кількома напрямами діяльності загальноосвітнього навчального закладу; порівняти отримані результати з нормативними й визначити відхилення від стандарту; проаналізувати навчально-виховний процес, сформувати висновки та рекомендації;</w:t>
      </w:r>
    </w:p>
    <w:p w:rsidR="0000439D" w:rsidRDefault="00613C26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93"/>
        <w:jc w:val="both"/>
      </w:pPr>
      <w:r>
        <w:rPr>
          <w:color w:val="000000"/>
        </w:rPr>
        <w:t>змістовний (</w:t>
      </w:r>
      <w:proofErr w:type="spellStart"/>
      <w:r>
        <w:rPr>
          <w:color w:val="000000"/>
        </w:rPr>
        <w:t>особистісно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зоріентовний</w:t>
      </w:r>
      <w:proofErr w:type="spellEnd"/>
      <w:r>
        <w:rPr>
          <w:color w:val="000000"/>
        </w:rPr>
        <w:t xml:space="preserve"> моніторинг); мета - динаміка особистісного розвитку;</w:t>
      </w:r>
    </w:p>
    <w:p w:rsidR="0000439D" w:rsidRDefault="00613C26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93"/>
        <w:jc w:val="both"/>
      </w:pPr>
      <w:r>
        <w:rPr>
          <w:color w:val="000000"/>
        </w:rPr>
        <w:t>супровідний педагогічний моніторинг; мета - контроль і поточне коригування взаємодії вчителя й учня в організації та здійсненні навчально-виховного процесу.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>Інструментарій моніторингових досліджень</w:t>
      </w:r>
      <w:r>
        <w:rPr>
          <w:color w:val="000000"/>
        </w:rPr>
        <w:t>: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статистичний (тестування, анкетування);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спостереження;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аналіз;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діагностичні роботи;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кваліметричні</w:t>
      </w:r>
      <w:proofErr w:type="spellEnd"/>
      <w:r>
        <w:rPr>
          <w:color w:val="000000"/>
        </w:rPr>
        <w:t xml:space="preserve"> таблиці;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оціночні шкали;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схеми аналізу уроків;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таблиці відстеження результатів освітньої діяльності;</w:t>
      </w:r>
    </w:p>
    <w:p w:rsidR="0000439D" w:rsidRDefault="00613C26"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діагностичні психологічні методики.</w:t>
      </w:r>
    </w:p>
    <w:p w:rsidR="0000439D" w:rsidRDefault="0000439D">
      <w:pPr>
        <w:pStyle w:val="normal"/>
        <w:jc w:val="center"/>
        <w:rPr>
          <w:b/>
          <w:color w:val="000000"/>
        </w:rPr>
      </w:pPr>
    </w:p>
    <w:p w:rsidR="0000439D" w:rsidRDefault="00613C26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4. Прогнозовані результати моніторингу</w:t>
      </w:r>
    </w:p>
    <w:p w:rsidR="0000439D" w:rsidRDefault="0000439D">
      <w:pPr>
        <w:pStyle w:val="normal"/>
        <w:jc w:val="center"/>
        <w:rPr>
          <w:b/>
          <w:color w:val="000000"/>
        </w:rPr>
      </w:pP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Основна гіпотеза: </w:t>
      </w:r>
      <w:r>
        <w:rPr>
          <w:color w:val="000000"/>
        </w:rPr>
        <w:t xml:space="preserve">одержана інформація про стан освітньої системи закладу, її аналіз, прийняті управлінські рішення будуть сприяти підвищенню якості освіти у плані набуття учнями ключовими та предметними </w:t>
      </w:r>
      <w:proofErr w:type="spellStart"/>
      <w:r>
        <w:rPr>
          <w:color w:val="000000"/>
        </w:rPr>
        <w:t>компетентностями</w:t>
      </w:r>
      <w:proofErr w:type="spellEnd"/>
      <w:r>
        <w:rPr>
          <w:color w:val="000000"/>
        </w:rPr>
        <w:t>, виконання державних програм  і планів, підвищення професійної компетентності педагога, укріплення матеріально-технічної бази школи, підтримка обдарованої молоді, створення позитивного іміджу, підвищення конкурентоспроможності навчального закладу.</w:t>
      </w:r>
    </w:p>
    <w:p w:rsidR="0000439D" w:rsidRDefault="00613C26">
      <w:pPr>
        <w:pStyle w:val="normal"/>
        <w:ind w:firstLine="360"/>
        <w:jc w:val="both"/>
        <w:rPr>
          <w:color w:val="000000"/>
        </w:rPr>
      </w:pPr>
      <w:r>
        <w:rPr>
          <w:color w:val="000000"/>
        </w:rPr>
        <w:t xml:space="preserve">Проводячи </w:t>
      </w:r>
      <w:proofErr w:type="spellStart"/>
      <w:r>
        <w:rPr>
          <w:color w:val="000000"/>
        </w:rPr>
        <w:t>внутрішкільний</w:t>
      </w:r>
      <w:proofErr w:type="spellEnd"/>
      <w:r>
        <w:rPr>
          <w:color w:val="000000"/>
        </w:rPr>
        <w:t xml:space="preserve"> моніторинг, заклад освіти орієнтується на такі </w:t>
      </w:r>
      <w:r>
        <w:rPr>
          <w:b/>
          <w:i/>
          <w:color w:val="000000"/>
        </w:rPr>
        <w:t>результати</w:t>
      </w:r>
      <w:r>
        <w:rPr>
          <w:color w:val="000000"/>
        </w:rPr>
        <w:t>:</w:t>
      </w:r>
    </w:p>
    <w:p w:rsidR="0000439D" w:rsidRDefault="00613C26">
      <w:pPr>
        <w:pStyle w:val="normal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підвищення     якості  надання  освітніх послуг, формування  позитивного іміджу, престижності та конкурентоспроможності навчального закладу;</w:t>
      </w:r>
    </w:p>
    <w:p w:rsidR="0000439D" w:rsidRDefault="00613C26">
      <w:pPr>
        <w:pStyle w:val="normal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створення необхідних умов для творчої діяльності учасників   навчально-виховного процесу:  виявлення й підтримка  обдарованої    молоді,   підняття  престижу творчих педагогів ; </w:t>
      </w:r>
    </w:p>
    <w:p w:rsidR="0000439D" w:rsidRDefault="00613C26">
      <w:pPr>
        <w:pStyle w:val="normal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упровадження освітніх інновацій, сучасних інформаційних технологій для оновлення змісту освітніх форм організації освітнього процесу;</w:t>
      </w:r>
    </w:p>
    <w:p w:rsidR="0000439D" w:rsidRDefault="00613C26">
      <w:pPr>
        <w:pStyle w:val="normal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активізація  роботи адміністрації  </w:t>
      </w:r>
      <w:r>
        <w:rPr>
          <w:color w:val="000000"/>
        </w:rPr>
        <w:tab/>
        <w:t>й педагогічного колективу  закладу,  вироблення  навичок контрольно-аналітичної діяльності,самооцінки та  саморегуляції;</w:t>
      </w:r>
    </w:p>
    <w:p w:rsidR="0000439D" w:rsidRDefault="00613C26">
      <w:pPr>
        <w:pStyle w:val="normal"/>
        <w:numPr>
          <w:ilvl w:val="0"/>
          <w:numId w:val="10"/>
        </w:numPr>
        <w:shd w:val="clear" w:color="auto" w:fill="FFFFFF"/>
        <w:tabs>
          <w:tab w:val="left" w:pos="9639"/>
        </w:tabs>
        <w:jc w:val="both"/>
        <w:rPr>
          <w:color w:val="000000"/>
        </w:rPr>
      </w:pPr>
      <w:r>
        <w:rPr>
          <w:color w:val="000000"/>
        </w:rPr>
        <w:t xml:space="preserve"> удосконалення управління  закладом,вироблення й корегування управлінських рішень,  планування й прогнозування розвитку навчального закладу.</w:t>
      </w:r>
    </w:p>
    <w:p w:rsidR="0000439D" w:rsidRDefault="0000439D">
      <w:pPr>
        <w:pStyle w:val="normal"/>
        <w:jc w:val="center"/>
        <w:rPr>
          <w:b/>
          <w:color w:val="000000"/>
        </w:rPr>
      </w:pPr>
    </w:p>
    <w:p w:rsidR="0000439D" w:rsidRDefault="00613C26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5. Організація моніторингу</w:t>
      </w:r>
    </w:p>
    <w:p w:rsidR="0000439D" w:rsidRDefault="0000439D">
      <w:pPr>
        <w:pStyle w:val="normal"/>
        <w:ind w:left="426"/>
        <w:jc w:val="both"/>
        <w:rPr>
          <w:color w:val="000000"/>
        </w:rPr>
      </w:pPr>
    </w:p>
    <w:p w:rsidR="0000439D" w:rsidRDefault="00613C26">
      <w:pPr>
        <w:pStyle w:val="normal"/>
        <w:numPr>
          <w:ilvl w:val="0"/>
          <w:numId w:val="7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 Створення програми моніторингу.</w:t>
      </w:r>
    </w:p>
    <w:p w:rsidR="0000439D" w:rsidRDefault="00613C26">
      <w:pPr>
        <w:pStyle w:val="normal"/>
        <w:numPr>
          <w:ilvl w:val="0"/>
          <w:numId w:val="7"/>
        </w:numPr>
        <w:ind w:left="426"/>
        <w:jc w:val="both"/>
        <w:rPr>
          <w:color w:val="000000"/>
        </w:rPr>
      </w:pPr>
      <w:r>
        <w:rPr>
          <w:color w:val="000000"/>
        </w:rPr>
        <w:t>Вибір інструментарію.</w:t>
      </w:r>
    </w:p>
    <w:p w:rsidR="0000439D" w:rsidRDefault="00613C26">
      <w:pPr>
        <w:pStyle w:val="normal"/>
        <w:numPr>
          <w:ilvl w:val="0"/>
          <w:numId w:val="7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Створення бази первинного </w:t>
      </w:r>
      <w:proofErr w:type="spellStart"/>
      <w:r>
        <w:rPr>
          <w:color w:val="000000"/>
        </w:rPr>
        <w:t>самооцінювання</w:t>
      </w:r>
      <w:proofErr w:type="spellEnd"/>
      <w:r>
        <w:rPr>
          <w:color w:val="000000"/>
        </w:rPr>
        <w:t xml:space="preserve">. Здійснення дослідження </w:t>
      </w:r>
      <w:proofErr w:type="spellStart"/>
      <w:r>
        <w:rPr>
          <w:color w:val="000000"/>
        </w:rPr>
        <w:t>обєктів</w:t>
      </w:r>
      <w:proofErr w:type="spellEnd"/>
      <w:r>
        <w:rPr>
          <w:color w:val="000000"/>
        </w:rPr>
        <w:t xml:space="preserve"> моніторингу.</w:t>
      </w:r>
    </w:p>
    <w:p w:rsidR="0000439D" w:rsidRDefault="00613C26">
      <w:pPr>
        <w:pStyle w:val="normal"/>
        <w:numPr>
          <w:ilvl w:val="0"/>
          <w:numId w:val="7"/>
        </w:numPr>
        <w:ind w:left="426"/>
        <w:jc w:val="both"/>
        <w:rPr>
          <w:color w:val="000000"/>
        </w:rPr>
      </w:pPr>
      <w:r>
        <w:rPr>
          <w:color w:val="000000"/>
        </w:rPr>
        <w:t>Збір та оприлюднення результатів.</w:t>
      </w:r>
    </w:p>
    <w:p w:rsidR="0000439D" w:rsidRDefault="00613C26">
      <w:pPr>
        <w:pStyle w:val="normal"/>
        <w:numPr>
          <w:ilvl w:val="0"/>
          <w:numId w:val="7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Аналіз та інтерпретація результатів </w:t>
      </w:r>
      <w:proofErr w:type="spellStart"/>
      <w:r>
        <w:rPr>
          <w:color w:val="000000"/>
        </w:rPr>
        <w:t>внутрішкільного</w:t>
      </w:r>
      <w:proofErr w:type="spellEnd"/>
      <w:r>
        <w:rPr>
          <w:color w:val="000000"/>
        </w:rPr>
        <w:t xml:space="preserve"> моніторингу стану конкретної ділянки освітнього середовища навчального  закладу (виявлення та оцінка позитивних та негативних факторів впливу; підготовка та представлення звіту, який  має містити висновки та  рекомендації з метою  прийняття управлінських рішень,  корекції програм, планів роботи школи, роботи окремих учителів, батьківського комітету, учнівського самоврядування).</w:t>
      </w:r>
    </w:p>
    <w:p w:rsidR="0000439D" w:rsidRDefault="00613C26">
      <w:pPr>
        <w:pStyle w:val="normal"/>
        <w:tabs>
          <w:tab w:val="left" w:pos="3675"/>
        </w:tabs>
        <w:rPr>
          <w:color w:val="000000"/>
        </w:rPr>
      </w:pPr>
      <w:r>
        <w:rPr>
          <w:color w:val="000000"/>
        </w:rPr>
        <w:t>Оприлюднення результатів моніторингу, запровадження рекомендацій у практику.</w:t>
      </w:r>
    </w:p>
    <w:p w:rsidR="0000439D" w:rsidRDefault="00613C26">
      <w:pPr>
        <w:pStyle w:val="normal"/>
        <w:tabs>
          <w:tab w:val="left" w:pos="3675"/>
        </w:tabs>
        <w:rPr>
          <w:b/>
          <w:color w:val="000000"/>
        </w:rPr>
      </w:pPr>
      <w:r>
        <w:rPr>
          <w:b/>
          <w:color w:val="000000"/>
        </w:rPr>
        <w:t xml:space="preserve">Обов’язкові  компоненти бази даних моніторингових досліджень 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 xml:space="preserve">Загальні відомості про навчальний заклад </w:t>
      </w:r>
      <w:r>
        <w:rPr>
          <w:color w:val="000000"/>
        </w:rPr>
        <w:t>(дата заснування, форма власності, юридична адреса, телефон, електронна адреса, мова навчання, профіль навчання, відомості про атестацію).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Матеріально-технічна база</w:t>
      </w:r>
      <w:r>
        <w:rPr>
          <w:b/>
          <w:color w:val="000000"/>
        </w:rPr>
        <w:t xml:space="preserve">  (</w:t>
      </w:r>
      <w:r>
        <w:rPr>
          <w:color w:val="000000"/>
        </w:rPr>
        <w:t>кількість навчальних кабінетів, забезпечення технічними засобами навчання, забезпечення комп’ютерною технікою, забезпечення ЕЗНП).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Кадрове  забезпечення  навчального закладу</w:t>
      </w:r>
      <w:r>
        <w:rPr>
          <w:color w:val="000000"/>
        </w:rPr>
        <w:t xml:space="preserve"> (кількісний склад педагогічних працівників, освітньо-кваліфікаційний рівень, розподіл за віком, склад учителів   за педагогічним стажем,  кваліфікаційними категоріями, аналіз руху кадрів,  результати атестації педагогічних кадрів).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Контингент учнів</w:t>
      </w:r>
      <w:r>
        <w:rPr>
          <w:color w:val="000000"/>
        </w:rPr>
        <w:t xml:space="preserve"> (мережа класів, віковий склад учнів, поглиблене вивчення предмета, розподіл учнів за профілем, результати ДПА в 4-х, 9-х, 11-х класах, динаміка нагородження випускників 9-х та 11 класів, результати участі учнів в олімпіадах, турнірах, конкурсах, спортивних змаганнях).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Методична робота, удосконалення професійної педагогічної майстерності вчителя</w:t>
      </w:r>
      <w:r>
        <w:rPr>
          <w:color w:val="000000"/>
        </w:rPr>
        <w:t xml:space="preserve"> (аналіз підвищення кваліфікації педагогічних кадрів, аналіз участі педагогічних працівників у методичній роботі, участь педагогів у конференціях, семінарах, майстер-класах).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Виховна робота</w:t>
      </w:r>
      <w:r>
        <w:rPr>
          <w:color w:val="000000"/>
        </w:rPr>
        <w:t xml:space="preserve"> (охоплення учнів  додатковою освітою, кількість дітей пільгових категорій, кількість дітей, які потребують особливої педагогічної уваги і схильних до правопорушень, дозвілля учнів, оздоровлення дітей улітку).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Стан здоров’я учнів</w:t>
      </w:r>
      <w:r>
        <w:rPr>
          <w:color w:val="000000"/>
        </w:rPr>
        <w:t xml:space="preserve"> ( динаміка захворюваності учнів, кількість учнів, унесених до медичних груп, кількість учнів, звільнених за станом здоров’я від ДПА).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Охорона життя та безпека життєдіяльності</w:t>
      </w:r>
      <w:r>
        <w:rPr>
          <w:color w:val="000000"/>
        </w:rPr>
        <w:t xml:space="preserve"> ( динаміка травмування дітей під час освітнього процесу та в позаурочний час, стан травмування серед педагогів).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Робота соціально-психологічної служби</w:t>
      </w:r>
      <w:r>
        <w:rPr>
          <w:color w:val="000000"/>
        </w:rPr>
        <w:t xml:space="preserve"> (дослідження психологічної готовності першокласників до навчання в школі;  адаптація учнів 5 класу до </w:t>
      </w:r>
      <w:r>
        <w:rPr>
          <w:color w:val="000000"/>
        </w:rPr>
        <w:lastRenderedPageBreak/>
        <w:t>навчання в основній школі;розвиток пізнавальної сфери  та особистісний  розвиток  учнів).</w:t>
      </w:r>
    </w:p>
    <w:p w:rsidR="0000439D" w:rsidRDefault="00613C26">
      <w:pPr>
        <w:pStyle w:val="normal"/>
        <w:numPr>
          <w:ilvl w:val="1"/>
          <w:numId w:val="11"/>
        </w:numPr>
        <w:ind w:left="1134" w:hanging="217"/>
        <w:jc w:val="both"/>
        <w:rPr>
          <w:i/>
          <w:color w:val="000000"/>
        </w:rPr>
      </w:pPr>
      <w:r>
        <w:rPr>
          <w:i/>
          <w:color w:val="000000"/>
        </w:rPr>
        <w:t>Робота з батьками та громадськістю</w:t>
      </w:r>
      <w:r>
        <w:rPr>
          <w:color w:val="000000"/>
        </w:rPr>
        <w:t xml:space="preserve"> ( склад сімей учнів, соціальний статус).</w:t>
      </w:r>
    </w:p>
    <w:p w:rsidR="0000439D" w:rsidRDefault="0000439D">
      <w:pPr>
        <w:pStyle w:val="normal"/>
        <w:ind w:left="1080"/>
        <w:jc w:val="both"/>
        <w:rPr>
          <w:b/>
          <w:i/>
          <w:color w:val="000000"/>
        </w:rPr>
      </w:pPr>
    </w:p>
    <w:p w:rsidR="0000439D" w:rsidRDefault="00613C26">
      <w:pPr>
        <w:pStyle w:val="normal"/>
        <w:tabs>
          <w:tab w:val="left" w:pos="3675"/>
        </w:tabs>
        <w:ind w:firstLine="567"/>
        <w:rPr>
          <w:b/>
          <w:color w:val="000000"/>
        </w:rPr>
      </w:pPr>
      <w:r>
        <w:rPr>
          <w:b/>
          <w:color w:val="000000"/>
        </w:rPr>
        <w:t xml:space="preserve">Звітність про результати  </w:t>
      </w:r>
      <w:proofErr w:type="spellStart"/>
      <w:r>
        <w:rPr>
          <w:b/>
          <w:color w:val="000000"/>
        </w:rPr>
        <w:t>внутрішкільного</w:t>
      </w:r>
      <w:proofErr w:type="spellEnd"/>
      <w:r>
        <w:rPr>
          <w:b/>
          <w:color w:val="000000"/>
        </w:rPr>
        <w:t xml:space="preserve"> моніторингу  та періодичність його проведення</w:t>
      </w:r>
    </w:p>
    <w:p w:rsidR="0000439D" w:rsidRDefault="00613C26">
      <w:pPr>
        <w:pStyle w:val="normal"/>
        <w:tabs>
          <w:tab w:val="left" w:pos="3675"/>
        </w:tabs>
        <w:ind w:left="720"/>
        <w:rPr>
          <w:i/>
          <w:color w:val="000000"/>
        </w:rPr>
      </w:pPr>
      <w:r>
        <w:rPr>
          <w:color w:val="000000"/>
        </w:rPr>
        <w:t xml:space="preserve">Інформація про кадрове забезпечення  навчального закладу </w:t>
      </w:r>
      <w:r>
        <w:rPr>
          <w:b/>
          <w:i/>
          <w:color w:val="000000"/>
        </w:rPr>
        <w:t>(вересень-жовтень).</w:t>
      </w:r>
    </w:p>
    <w:p w:rsidR="0000439D" w:rsidRDefault="00613C26">
      <w:pPr>
        <w:pStyle w:val="normal"/>
        <w:numPr>
          <w:ilvl w:val="0"/>
          <w:numId w:val="12"/>
        </w:numPr>
        <w:tabs>
          <w:tab w:val="left" w:pos="3675"/>
        </w:tabs>
        <w:jc w:val="both"/>
        <w:rPr>
          <w:color w:val="000000"/>
        </w:rPr>
      </w:pPr>
      <w:r>
        <w:rPr>
          <w:color w:val="000000"/>
        </w:rPr>
        <w:t xml:space="preserve">Інформація про контингент учнів </w:t>
      </w:r>
      <w:r>
        <w:rPr>
          <w:b/>
          <w:i/>
          <w:color w:val="000000"/>
        </w:rPr>
        <w:t>(вересень).</w:t>
      </w:r>
    </w:p>
    <w:p w:rsidR="0000439D" w:rsidRDefault="00613C26">
      <w:pPr>
        <w:pStyle w:val="normal"/>
        <w:numPr>
          <w:ilvl w:val="0"/>
          <w:numId w:val="12"/>
        </w:numPr>
        <w:tabs>
          <w:tab w:val="left" w:pos="3675"/>
        </w:tabs>
        <w:jc w:val="both"/>
        <w:rPr>
          <w:color w:val="000000"/>
        </w:rPr>
      </w:pPr>
      <w:r>
        <w:rPr>
          <w:color w:val="000000"/>
        </w:rPr>
        <w:t xml:space="preserve">Інформація про матеріально-технічну базу навчального закладу </w:t>
      </w:r>
      <w:r>
        <w:rPr>
          <w:b/>
          <w:i/>
          <w:color w:val="000000"/>
        </w:rPr>
        <w:t>(вересень).</w:t>
      </w:r>
    </w:p>
    <w:p w:rsidR="0000439D" w:rsidRDefault="00613C26">
      <w:pPr>
        <w:pStyle w:val="normal"/>
        <w:numPr>
          <w:ilvl w:val="0"/>
          <w:numId w:val="13"/>
        </w:numPr>
        <w:tabs>
          <w:tab w:val="left" w:pos="3675"/>
        </w:tabs>
        <w:jc w:val="both"/>
        <w:rPr>
          <w:b/>
          <w:i/>
          <w:color w:val="000000"/>
        </w:rPr>
      </w:pPr>
      <w:r>
        <w:rPr>
          <w:color w:val="000000"/>
        </w:rPr>
        <w:t xml:space="preserve">Інформація про рівень навченості  учнів школи  за результатами навчання у </w:t>
      </w:r>
      <w:r>
        <w:rPr>
          <w:color w:val="000000"/>
        </w:rPr>
        <w:br/>
        <w:t xml:space="preserve">І, ІІ семестрах та за рік  для учнів початкової, основної та інформація про результати державної підсумкової атестації в 4, 9 та  11 класах </w:t>
      </w:r>
      <w:r>
        <w:rPr>
          <w:b/>
          <w:i/>
          <w:color w:val="000000"/>
        </w:rPr>
        <w:t>(червень).</w:t>
      </w:r>
    </w:p>
    <w:p w:rsidR="0000439D" w:rsidRDefault="00613C26">
      <w:pPr>
        <w:pStyle w:val="normal"/>
        <w:numPr>
          <w:ilvl w:val="0"/>
          <w:numId w:val="13"/>
        </w:numPr>
        <w:tabs>
          <w:tab w:val="left" w:pos="3675"/>
        </w:tabs>
        <w:jc w:val="both"/>
        <w:rPr>
          <w:b/>
          <w:i/>
          <w:color w:val="000000"/>
        </w:rPr>
      </w:pPr>
      <w:r>
        <w:rPr>
          <w:color w:val="000000"/>
        </w:rPr>
        <w:t xml:space="preserve">Інформація про результати участі учнів школи у Всеукраїнських, обласних, районних, міських олімпіадах, турнірах, конкурсах </w:t>
      </w:r>
      <w:r>
        <w:rPr>
          <w:b/>
          <w:i/>
          <w:color w:val="000000"/>
        </w:rPr>
        <w:t>(грудень-квітень).</w:t>
      </w:r>
    </w:p>
    <w:p w:rsidR="0000439D" w:rsidRDefault="00613C26">
      <w:pPr>
        <w:pStyle w:val="normal"/>
        <w:numPr>
          <w:ilvl w:val="0"/>
          <w:numId w:val="13"/>
        </w:numPr>
        <w:tabs>
          <w:tab w:val="left" w:pos="3675"/>
        </w:tabs>
        <w:jc w:val="both"/>
        <w:rPr>
          <w:color w:val="000000"/>
        </w:rPr>
      </w:pPr>
      <w:r>
        <w:rPr>
          <w:color w:val="000000"/>
        </w:rPr>
        <w:t xml:space="preserve">Інформація про результати участі учнів у ЗНО з української мови , математики </w:t>
      </w:r>
      <w:r>
        <w:rPr>
          <w:b/>
          <w:i/>
          <w:color w:val="000000"/>
        </w:rPr>
        <w:t>(травень).</w:t>
      </w:r>
    </w:p>
    <w:p w:rsidR="0000439D" w:rsidRDefault="00613C26"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  <w:t>Інформація про результати участі учнів у  ЗНО  за результатами щорічного Офіційного звіту УЦОЯО про результати ЗНО.</w:t>
      </w:r>
    </w:p>
    <w:p w:rsidR="0000439D" w:rsidRDefault="0000439D">
      <w:pPr>
        <w:pStyle w:val="normal"/>
        <w:ind w:left="1429"/>
        <w:jc w:val="both"/>
        <w:rPr>
          <w:color w:val="000000"/>
        </w:rPr>
      </w:pP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6. Структура моніторингових досліджень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6.1. Кадрове забезпечення освітньої діяльності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>1. Кількісно-якісний склад педагогічних працівників</w:t>
      </w: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9"/>
        <w:gridCol w:w="1714"/>
        <w:gridCol w:w="932"/>
        <w:gridCol w:w="850"/>
        <w:gridCol w:w="850"/>
        <w:gridCol w:w="934"/>
        <w:gridCol w:w="1084"/>
        <w:gridCol w:w="1089"/>
        <w:gridCol w:w="1052"/>
      </w:tblGrid>
      <w:tr w:rsidR="0000439D">
        <w:tc>
          <w:tcPr>
            <w:tcW w:w="134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Навчальний рік</w:t>
            </w:r>
          </w:p>
        </w:tc>
        <w:tc>
          <w:tcPr>
            <w:tcW w:w="1714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/>
                <w:szCs w:val="22"/>
              </w:rPr>
              <w:t>пед.працівників</w:t>
            </w:r>
            <w:proofErr w:type="spellEnd"/>
          </w:p>
        </w:tc>
        <w:tc>
          <w:tcPr>
            <w:tcW w:w="93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Вища кат.</w:t>
            </w:r>
          </w:p>
        </w:tc>
        <w:tc>
          <w:tcPr>
            <w:tcW w:w="850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 кат.</w:t>
            </w:r>
          </w:p>
        </w:tc>
        <w:tc>
          <w:tcPr>
            <w:tcW w:w="850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ІІ кат.</w:t>
            </w:r>
          </w:p>
        </w:tc>
        <w:tc>
          <w:tcPr>
            <w:tcW w:w="934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Спец.</w:t>
            </w:r>
          </w:p>
        </w:tc>
        <w:tc>
          <w:tcPr>
            <w:tcW w:w="1084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учитель</w:t>
            </w:r>
          </w:p>
        </w:tc>
        <w:tc>
          <w:tcPr>
            <w:tcW w:w="108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Учитель-методист</w:t>
            </w:r>
          </w:p>
        </w:tc>
        <w:tc>
          <w:tcPr>
            <w:tcW w:w="105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Вакансії </w:t>
            </w:r>
          </w:p>
        </w:tc>
      </w:tr>
      <w:tr w:rsidR="0000439D">
        <w:trPr>
          <w:trHeight w:val="20"/>
        </w:trPr>
        <w:tc>
          <w:tcPr>
            <w:tcW w:w="134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2019/2020</w:t>
            </w:r>
          </w:p>
        </w:tc>
        <w:tc>
          <w:tcPr>
            <w:tcW w:w="17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439D">
        <w:trPr>
          <w:trHeight w:val="20"/>
        </w:trPr>
        <w:tc>
          <w:tcPr>
            <w:tcW w:w="134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2020/2021</w:t>
            </w:r>
          </w:p>
        </w:tc>
        <w:tc>
          <w:tcPr>
            <w:tcW w:w="17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439D">
        <w:trPr>
          <w:trHeight w:val="20"/>
        </w:trPr>
        <w:tc>
          <w:tcPr>
            <w:tcW w:w="134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2021/2022</w:t>
            </w:r>
          </w:p>
        </w:tc>
        <w:tc>
          <w:tcPr>
            <w:tcW w:w="17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439D">
        <w:trPr>
          <w:trHeight w:val="20"/>
        </w:trPr>
        <w:tc>
          <w:tcPr>
            <w:tcW w:w="134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2022/2023</w:t>
            </w:r>
          </w:p>
        </w:tc>
        <w:tc>
          <w:tcPr>
            <w:tcW w:w="17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>2. Віковий склад</w:t>
      </w:r>
    </w:p>
    <w:p w:rsidR="0000439D" w:rsidRDefault="0000439D" w:rsidP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6"/>
        <w:tblW w:w="91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7"/>
        <w:gridCol w:w="1398"/>
        <w:gridCol w:w="1469"/>
        <w:gridCol w:w="1369"/>
        <w:gridCol w:w="1369"/>
        <w:gridCol w:w="1198"/>
        <w:gridCol w:w="1134"/>
      </w:tblGrid>
      <w:tr w:rsidR="0000439D" w:rsidTr="00613C26">
        <w:tc>
          <w:tcPr>
            <w:tcW w:w="1227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00439D" w:rsidRDefault="00613C26">
            <w:pPr>
              <w:pStyle w:val="normal"/>
              <w:ind w:left="0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років</w:t>
            </w:r>
          </w:p>
        </w:tc>
        <w:tc>
          <w:tcPr>
            <w:tcW w:w="1469" w:type="dxa"/>
          </w:tcPr>
          <w:p w:rsidR="0000439D" w:rsidRDefault="00613C26">
            <w:pPr>
              <w:pStyle w:val="normal"/>
              <w:ind w:left="0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31-40 років</w:t>
            </w:r>
          </w:p>
        </w:tc>
        <w:tc>
          <w:tcPr>
            <w:tcW w:w="1369" w:type="dxa"/>
          </w:tcPr>
          <w:p w:rsidR="0000439D" w:rsidRDefault="00613C26">
            <w:pPr>
              <w:pStyle w:val="normal"/>
              <w:ind w:left="0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41-50 років</w:t>
            </w:r>
          </w:p>
        </w:tc>
        <w:tc>
          <w:tcPr>
            <w:tcW w:w="1369" w:type="dxa"/>
          </w:tcPr>
          <w:p w:rsidR="0000439D" w:rsidRDefault="00613C26">
            <w:pPr>
              <w:pStyle w:val="normal"/>
              <w:ind w:left="0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51-54 роки</w:t>
            </w:r>
          </w:p>
        </w:tc>
        <w:tc>
          <w:tcPr>
            <w:tcW w:w="1198" w:type="dxa"/>
          </w:tcPr>
          <w:p w:rsidR="0000439D" w:rsidRDefault="00613C26">
            <w:pPr>
              <w:pStyle w:val="normal"/>
              <w:ind w:left="0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55-60 років</w:t>
            </w:r>
          </w:p>
        </w:tc>
        <w:tc>
          <w:tcPr>
            <w:tcW w:w="1134" w:type="dxa"/>
          </w:tcPr>
          <w:p w:rsidR="0000439D" w:rsidRDefault="00613C26">
            <w:pPr>
              <w:pStyle w:val="normal"/>
              <w:ind w:left="0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Понад </w:t>
            </w:r>
          </w:p>
          <w:p w:rsidR="0000439D" w:rsidRDefault="00613C26">
            <w:pPr>
              <w:pStyle w:val="normal"/>
              <w:ind w:left="0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60 років</w:t>
            </w:r>
          </w:p>
        </w:tc>
      </w:tr>
      <w:tr w:rsidR="0000439D" w:rsidTr="00613C26">
        <w:trPr>
          <w:trHeight w:val="20"/>
        </w:trPr>
        <w:tc>
          <w:tcPr>
            <w:tcW w:w="1227" w:type="dxa"/>
          </w:tcPr>
          <w:p w:rsidR="0000439D" w:rsidRDefault="00613C26">
            <w:pPr>
              <w:pStyle w:val="normal"/>
              <w:ind w:left="318"/>
              <w:jc w:val="center"/>
              <w:rPr>
                <w:color w:val="000000"/>
              </w:rPr>
            </w:pPr>
            <w:r>
              <w:rPr>
                <w:color w:val="000000"/>
              </w:rPr>
              <w:t>2019/2020</w:t>
            </w:r>
          </w:p>
        </w:tc>
        <w:tc>
          <w:tcPr>
            <w:tcW w:w="13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4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rPr>
          <w:trHeight w:val="20"/>
        </w:trPr>
        <w:tc>
          <w:tcPr>
            <w:tcW w:w="1227" w:type="dxa"/>
          </w:tcPr>
          <w:p w:rsidR="0000439D" w:rsidRDefault="00613C26">
            <w:pPr>
              <w:pStyle w:val="normal"/>
              <w:ind w:left="318"/>
              <w:jc w:val="center"/>
              <w:rPr>
                <w:color w:val="000000"/>
              </w:rPr>
            </w:pPr>
            <w:r>
              <w:rPr>
                <w:color w:val="000000"/>
              </w:rPr>
              <w:t>2020/2021</w:t>
            </w:r>
          </w:p>
        </w:tc>
        <w:tc>
          <w:tcPr>
            <w:tcW w:w="13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4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rPr>
          <w:trHeight w:val="20"/>
        </w:trPr>
        <w:tc>
          <w:tcPr>
            <w:tcW w:w="1227" w:type="dxa"/>
          </w:tcPr>
          <w:p w:rsidR="0000439D" w:rsidRDefault="00613C26" w:rsidP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2021/2022</w:t>
            </w:r>
          </w:p>
        </w:tc>
        <w:tc>
          <w:tcPr>
            <w:tcW w:w="13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4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rPr>
          <w:trHeight w:val="20"/>
        </w:trPr>
        <w:tc>
          <w:tcPr>
            <w:tcW w:w="1227" w:type="dxa"/>
          </w:tcPr>
          <w:p w:rsidR="0000439D" w:rsidRDefault="00613C26" w:rsidP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2022/2023</w:t>
            </w:r>
          </w:p>
        </w:tc>
        <w:tc>
          <w:tcPr>
            <w:tcW w:w="13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4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369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98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</w:p>
    <w:p w:rsidR="0000439D" w:rsidRDefault="00613C26" w:rsidP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>3. Гендерний склад</w:t>
      </w:r>
    </w:p>
    <w:tbl>
      <w:tblPr>
        <w:tblStyle w:val="a7"/>
        <w:tblW w:w="4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5"/>
        <w:gridCol w:w="1642"/>
        <w:gridCol w:w="1642"/>
      </w:tblGrid>
      <w:tr w:rsidR="0000439D" w:rsidTr="00613C26">
        <w:tc>
          <w:tcPr>
            <w:tcW w:w="1525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2" w:type="dxa"/>
          </w:tcPr>
          <w:p w:rsidR="0000439D" w:rsidRDefault="00613C2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жінки</w:t>
            </w:r>
          </w:p>
        </w:tc>
        <w:tc>
          <w:tcPr>
            <w:tcW w:w="1642" w:type="dxa"/>
          </w:tcPr>
          <w:p w:rsidR="0000439D" w:rsidRDefault="00613C2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чоловіки</w:t>
            </w:r>
          </w:p>
        </w:tc>
      </w:tr>
      <w:tr w:rsidR="0000439D" w:rsidTr="00613C26">
        <w:tc>
          <w:tcPr>
            <w:tcW w:w="1525" w:type="dxa"/>
          </w:tcPr>
          <w:p w:rsidR="0000439D" w:rsidRDefault="00613C26">
            <w:pPr>
              <w:pStyle w:val="normal"/>
              <w:ind w:left="299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2019/2020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c>
          <w:tcPr>
            <w:tcW w:w="1525" w:type="dxa"/>
          </w:tcPr>
          <w:p w:rsidR="0000439D" w:rsidRDefault="00613C26">
            <w:pPr>
              <w:pStyle w:val="normal"/>
              <w:ind w:left="299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2020/2021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c>
          <w:tcPr>
            <w:tcW w:w="1525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99" w:hanging="2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2021/2022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c>
          <w:tcPr>
            <w:tcW w:w="1525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99" w:hanging="2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2022/2023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>4. Стаж роботи</w:t>
      </w:r>
    </w:p>
    <w:p w:rsidR="0000439D" w:rsidRDefault="0000439D" w:rsidP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8"/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2"/>
        <w:gridCol w:w="1642"/>
        <w:gridCol w:w="1786"/>
        <w:gridCol w:w="1703"/>
        <w:gridCol w:w="1643"/>
      </w:tblGrid>
      <w:tr w:rsidR="0000439D" w:rsidTr="00613C26"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2" w:type="dxa"/>
          </w:tcPr>
          <w:p w:rsidR="0000439D" w:rsidRDefault="00613C2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 3 років</w:t>
            </w:r>
          </w:p>
        </w:tc>
        <w:tc>
          <w:tcPr>
            <w:tcW w:w="1786" w:type="dxa"/>
          </w:tcPr>
          <w:p w:rsidR="0000439D" w:rsidRDefault="00613C2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Від 3 до 10 років</w:t>
            </w:r>
          </w:p>
        </w:tc>
        <w:tc>
          <w:tcPr>
            <w:tcW w:w="1703" w:type="dxa"/>
          </w:tcPr>
          <w:p w:rsidR="0000439D" w:rsidRDefault="00613C2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Від 10 до 20 років</w:t>
            </w:r>
          </w:p>
        </w:tc>
        <w:tc>
          <w:tcPr>
            <w:tcW w:w="1643" w:type="dxa"/>
          </w:tcPr>
          <w:p w:rsidR="0000439D" w:rsidRDefault="00613C26">
            <w:pPr>
              <w:pStyle w:val="normal"/>
              <w:tabs>
                <w:tab w:val="left" w:pos="49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 років і більше</w:t>
            </w:r>
          </w:p>
        </w:tc>
      </w:tr>
      <w:tr w:rsidR="0000439D" w:rsidTr="00613C26">
        <w:tc>
          <w:tcPr>
            <w:tcW w:w="1642" w:type="dxa"/>
          </w:tcPr>
          <w:p w:rsidR="0000439D" w:rsidRDefault="00613C2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2019/2020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86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c>
          <w:tcPr>
            <w:tcW w:w="1642" w:type="dxa"/>
          </w:tcPr>
          <w:p w:rsidR="0000439D" w:rsidRDefault="00613C2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2020/2021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86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c>
          <w:tcPr>
            <w:tcW w:w="164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2021/2022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86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  <w:tr w:rsidR="0000439D" w:rsidTr="00613C26">
        <w:tc>
          <w:tcPr>
            <w:tcW w:w="164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2022/2023</w:t>
            </w:r>
          </w:p>
        </w:tc>
        <w:tc>
          <w:tcPr>
            <w:tcW w:w="1642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86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00439D" w:rsidRDefault="0000439D">
            <w:pPr>
              <w:pStyle w:val="normal"/>
              <w:jc w:val="center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>5. Підвищення кваліфікації. Післядипломна педагогічна освіта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color w:val="000000"/>
        </w:rPr>
      </w:pPr>
      <w:r>
        <w:rPr>
          <w:color w:val="000000"/>
        </w:rPr>
        <w:t>5.1. Курсова перепідготовка (за перспективним планом).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color w:val="000000"/>
        </w:rPr>
      </w:pPr>
      <w:r>
        <w:rPr>
          <w:color w:val="000000"/>
        </w:rPr>
        <w:t>5.2. Кількість педагогічних працівників охоплених післядипломною освітою.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color w:val="000000"/>
        </w:rPr>
      </w:pPr>
    </w:p>
    <w:tbl>
      <w:tblPr>
        <w:tblStyle w:val="a9"/>
        <w:tblW w:w="86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6"/>
        <w:gridCol w:w="1232"/>
        <w:gridCol w:w="1264"/>
        <w:gridCol w:w="1264"/>
        <w:gridCol w:w="1220"/>
        <w:gridCol w:w="1221"/>
        <w:gridCol w:w="1214"/>
      </w:tblGrid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Навчальний рік</w:t>
            </w:r>
          </w:p>
        </w:tc>
        <w:tc>
          <w:tcPr>
            <w:tcW w:w="123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НУШ (очно-дистанційні курси)</w:t>
            </w:r>
          </w:p>
        </w:tc>
        <w:tc>
          <w:tcPr>
            <w:tcW w:w="1264" w:type="dxa"/>
          </w:tcPr>
          <w:p w:rsidR="0000439D" w:rsidRDefault="00613C26" w:rsidP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Основні курси, спецкурси </w:t>
            </w:r>
          </w:p>
        </w:tc>
        <w:tc>
          <w:tcPr>
            <w:tcW w:w="1264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Дистанційні курси, сервіси </w:t>
            </w:r>
            <w:proofErr w:type="spellStart"/>
            <w:r>
              <w:rPr>
                <w:color w:val="000000"/>
                <w:sz w:val="20"/>
                <w:szCs w:val="20"/>
              </w:rPr>
              <w:t>Google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професійній освіті</w:t>
            </w:r>
          </w:p>
        </w:tc>
        <w:tc>
          <w:tcPr>
            <w:tcW w:w="1220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Освітні проекти  й </w:t>
            </w:r>
            <w:proofErr w:type="spellStart"/>
            <w:r>
              <w:rPr>
                <w:color w:val="000000"/>
                <w:sz w:val="20"/>
                <w:szCs w:val="20"/>
              </w:rPr>
              <w:t>EdCamp</w:t>
            </w:r>
            <w:proofErr w:type="spellEnd"/>
          </w:p>
        </w:tc>
        <w:tc>
          <w:tcPr>
            <w:tcW w:w="122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Основи здоров’я</w:t>
            </w:r>
          </w:p>
        </w:tc>
        <w:tc>
          <w:tcPr>
            <w:tcW w:w="1214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Курси ТБ, ЦО</w:t>
            </w: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2019/2020</w:t>
            </w: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2020/2021</w:t>
            </w: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2021/2022</w:t>
            </w: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2022/2023</w:t>
            </w: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i/>
          <w:color w:val="000000"/>
          <w:sz w:val="20"/>
          <w:szCs w:val="20"/>
        </w:rPr>
      </w:pP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i/>
          <w:color w:val="000000"/>
          <w:sz w:val="20"/>
          <w:szCs w:val="20"/>
        </w:rPr>
      </w:pP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i/>
          <w:color w:val="000000"/>
          <w:sz w:val="20"/>
          <w:szCs w:val="20"/>
        </w:rPr>
      </w:pPr>
    </w:p>
    <w:p w:rsidR="0000439D" w:rsidRDefault="00613C26" w:rsidP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6. Атестація (за перспективним планом на 5 років)</w:t>
      </w:r>
    </w:p>
    <w:p w:rsidR="0000439D" w:rsidRDefault="0000439D" w:rsidP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7. </w:t>
      </w:r>
    </w:p>
    <w:p w:rsidR="0000439D" w:rsidRDefault="00613C26" w:rsidP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7.1. Методична діяльність педагогів</w:t>
      </w:r>
    </w:p>
    <w:tbl>
      <w:tblPr>
        <w:tblStyle w:val="aa"/>
        <w:tblW w:w="5931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1"/>
        <w:gridCol w:w="1095"/>
        <w:gridCol w:w="1095"/>
        <w:gridCol w:w="1095"/>
        <w:gridCol w:w="1095"/>
      </w:tblGrid>
      <w:tr w:rsidR="00613C26" w:rsidTr="00613C26">
        <w:tc>
          <w:tcPr>
            <w:tcW w:w="1551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ПІБ учителя</w:t>
            </w: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613C26" w:rsidTr="00613C26">
        <w:tc>
          <w:tcPr>
            <w:tcW w:w="1551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13C26" w:rsidTr="00613C26">
        <w:tc>
          <w:tcPr>
            <w:tcW w:w="1551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3C26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>8. Самоосвітня діяльність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Напрями:</w:t>
      </w:r>
    </w:p>
    <w:p w:rsidR="0000439D" w:rsidRDefault="00613C26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втілення концепції Нової української школи;</w:t>
      </w:r>
    </w:p>
    <w:p w:rsidR="0000439D" w:rsidRDefault="00613C26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використання прикладних програмних продуктів та електронних підручників;</w:t>
      </w:r>
    </w:p>
    <w:p w:rsidR="0000439D" w:rsidRDefault="00613C26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використання програмних продуктів для діагностичного й підсумкового тестування учнів;</w:t>
      </w:r>
    </w:p>
    <w:p w:rsidR="0000439D" w:rsidRDefault="00613C26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використання інтерактивних технологій навчання та виховання.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</w:pPr>
      <w:r>
        <w:rPr>
          <w:i/>
          <w:color w:val="000000"/>
        </w:rPr>
        <w:t>9. Професійна компетентність учителя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Завдання:</w:t>
      </w:r>
    </w:p>
    <w:p w:rsidR="0000439D" w:rsidRDefault="00613C26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Оцінити професійну компетентність учителів.</w:t>
      </w:r>
    </w:p>
    <w:p w:rsidR="0000439D" w:rsidRDefault="00613C26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Скоригувати самоосвітню діяльність окремих учителів.</w:t>
      </w:r>
    </w:p>
    <w:p w:rsidR="0000439D" w:rsidRDefault="00613C26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Створити алгоритм корекції самоосвітньої діяльності вчителів за умов моніторингу.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Прогнозовані очікувані результати:</w:t>
      </w:r>
    </w:p>
    <w:p w:rsidR="0000439D" w:rsidRDefault="00613C26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Підвищення загального рівня професійної майстерності вчителя: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lastRenderedPageBreak/>
        <w:t>1.1. Підвищення рівня професійної підготовки.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1.2. Покращення всіх видів педагогічної компетентності.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 w:hanging="414"/>
        <w:jc w:val="both"/>
        <w:rPr>
          <w:color w:val="000000"/>
        </w:rPr>
      </w:pPr>
      <w:r>
        <w:rPr>
          <w:color w:val="000000"/>
        </w:rPr>
        <w:t>1.3. Моделювання перспективного досвіду роботи вчителів, які мають потенційні здібності.</w:t>
      </w:r>
    </w:p>
    <w:p w:rsidR="0000439D" w:rsidRDefault="00613C26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Розвиток творчої ініціативи </w:t>
      </w:r>
      <w:proofErr w:type="spellStart"/>
      <w:r>
        <w:rPr>
          <w:color w:val="000000"/>
        </w:rPr>
        <w:t>педколективу</w:t>
      </w:r>
      <w:proofErr w:type="spellEnd"/>
      <w:r>
        <w:rPr>
          <w:color w:val="000000"/>
        </w:rPr>
        <w:t>: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2.1. Збільшення кількості вчителів, які цілеспрямовано займаються самоосвітою.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>
        <w:rPr>
          <w:color w:val="000000"/>
        </w:rPr>
        <w:t>2.2. Підвищення активності роботи вчителів на всіх рівнях підпорядкування (шкільному, міському, регіональному, всеукраїнському та міжнародному).</w:t>
      </w:r>
    </w:p>
    <w:p w:rsidR="0000439D" w:rsidRDefault="00613C26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Підвищення рівня організації навчально-виховного процесу: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3.1. Удосконалення методики викладання.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3.2. Підвищення якості знань учнів.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3.3. Підвищення вихованості учнів.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3.4. Рівень професійної компетентності</w:t>
      </w:r>
    </w:p>
    <w:tbl>
      <w:tblPr>
        <w:tblStyle w:val="ab"/>
        <w:tblW w:w="9121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6"/>
        <w:gridCol w:w="1593"/>
        <w:gridCol w:w="1176"/>
        <w:gridCol w:w="814"/>
        <w:gridCol w:w="813"/>
        <w:gridCol w:w="985"/>
        <w:gridCol w:w="939"/>
        <w:gridCol w:w="845"/>
        <w:gridCol w:w="850"/>
      </w:tblGrid>
      <w:tr w:rsidR="0000439D">
        <w:tc>
          <w:tcPr>
            <w:tcW w:w="1106" w:type="dxa"/>
            <w:vMerge w:val="restart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ПІБ учителів</w:t>
            </w:r>
          </w:p>
        </w:tc>
        <w:tc>
          <w:tcPr>
            <w:tcW w:w="8015" w:type="dxa"/>
            <w:gridSpan w:val="8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Компетентності</w:t>
            </w:r>
          </w:p>
        </w:tc>
      </w:tr>
      <w:tr w:rsidR="0000439D">
        <w:tc>
          <w:tcPr>
            <w:tcW w:w="1106" w:type="dxa"/>
            <w:vMerge/>
          </w:tcPr>
          <w:p w:rsidR="0000439D" w:rsidRDefault="000043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Інтелектуально-предметна</w:t>
            </w:r>
          </w:p>
        </w:tc>
        <w:tc>
          <w:tcPr>
            <w:tcW w:w="117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Методична </w:t>
            </w:r>
          </w:p>
        </w:tc>
        <w:tc>
          <w:tcPr>
            <w:tcW w:w="814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Дидак-тична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Проек-тивна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Комуні-кативна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Мотива-ційна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Управ-лінська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Психо-логічна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439D">
        <w:tc>
          <w:tcPr>
            <w:tcW w:w="1106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6.2. Навчально-методичне забезпечення освітньої діяльності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Наявність державних стандартів, інструктивно-методичних матеріалів, освітніх програм з предметів інвазійної та варіативної складових навчальних планів, факультативних занять, консультацій, діяльності гуртків, інклюзивного навчання.</w:t>
      </w: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Наявність календарного планування з предмета, гуртка, факультативу, консультації, інклюзивного, індивідуального навчання.</w:t>
      </w: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Наявність комплексу навчально-методичного забезпечення, у тому числі план проведення уроку навчального заняття, контрольної роботи, лабораторної, практичної роботи; матеріалів для визначення результатів освітньої діяльності (тести, матеріали ДПА тощо).</w:t>
      </w: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Наявність навчальних матеріалів для здобувачів освіти (підручники, посібники, зошити для практичних та лабораторних робіт).</w:t>
      </w: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Підготовка педагогами власних програм, методичних посібників, рекомендацій, статей.</w:t>
      </w: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Наявність електронних ресурсів:</w:t>
      </w:r>
    </w:p>
    <w:p w:rsidR="0000439D" w:rsidRDefault="00613C26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сайт школи;</w:t>
      </w:r>
    </w:p>
    <w:p w:rsidR="0000439D" w:rsidRDefault="00613C26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сайт «Віртуальна учительська»;</w:t>
      </w:r>
    </w:p>
    <w:p w:rsidR="0000439D" w:rsidRDefault="00613C26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сайт та спільноти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+ бібліотеки;</w:t>
      </w:r>
    </w:p>
    <w:p w:rsidR="0000439D" w:rsidRDefault="00613C26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спільнота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+ «Методична діяльність».</w:t>
      </w: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Діяльність бібліотеки:</w:t>
      </w:r>
    </w:p>
    <w:p w:rsidR="0000439D" w:rsidRDefault="00613C26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фахові періодичні видання;</w:t>
      </w:r>
    </w:p>
    <w:p w:rsidR="0000439D" w:rsidRDefault="00613C26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довідкова література;</w:t>
      </w:r>
    </w:p>
    <w:p w:rsidR="0000439D" w:rsidRDefault="00613C26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забезпечення учнів підручникам, посібниками.</w:t>
      </w:r>
    </w:p>
    <w:p w:rsidR="0000439D" w:rsidRDefault="00613C2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Наявність методичних осередків, інноваційної діяльності, реалізація єдиної науково-методичної проблеми.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Style w:val="ac"/>
        <w:tblW w:w="7376" w:type="dxa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6"/>
        <w:gridCol w:w="1102"/>
        <w:gridCol w:w="1139"/>
        <w:gridCol w:w="1232"/>
        <w:gridCol w:w="1168"/>
        <w:gridCol w:w="1489"/>
      </w:tblGrid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Навчальний рік</w:t>
            </w:r>
          </w:p>
        </w:tc>
        <w:tc>
          <w:tcPr>
            <w:tcW w:w="110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ШМО</w:t>
            </w:r>
          </w:p>
        </w:tc>
        <w:tc>
          <w:tcPr>
            <w:tcW w:w="113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Творчі групи</w:t>
            </w:r>
          </w:p>
        </w:tc>
        <w:tc>
          <w:tcPr>
            <w:tcW w:w="123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Методичні проекти</w:t>
            </w:r>
          </w:p>
        </w:tc>
        <w:tc>
          <w:tcPr>
            <w:tcW w:w="116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Майстер-класи</w:t>
            </w:r>
          </w:p>
        </w:tc>
        <w:tc>
          <w:tcPr>
            <w:tcW w:w="148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Загальноміські заходи</w:t>
            </w: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2019/2020</w:t>
            </w:r>
          </w:p>
        </w:tc>
        <w:tc>
          <w:tcPr>
            <w:tcW w:w="110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2020/2021</w:t>
            </w:r>
          </w:p>
        </w:tc>
        <w:tc>
          <w:tcPr>
            <w:tcW w:w="110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2021/2022</w:t>
            </w:r>
          </w:p>
        </w:tc>
        <w:tc>
          <w:tcPr>
            <w:tcW w:w="110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 w:rsidTr="00613C26">
        <w:tc>
          <w:tcPr>
            <w:tcW w:w="124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2022/2023</w:t>
            </w:r>
          </w:p>
        </w:tc>
        <w:tc>
          <w:tcPr>
            <w:tcW w:w="110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6.3. Матеріально-технічне забезпечення освітньої діяльності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Оснащення предметних та навчальних кабінетів. Відповідність кабінетів </w:t>
      </w:r>
      <w:proofErr w:type="spellStart"/>
      <w:r>
        <w:rPr>
          <w:color w:val="000000"/>
        </w:rPr>
        <w:t>виличинам</w:t>
      </w:r>
      <w:proofErr w:type="spellEnd"/>
      <w:r>
        <w:rPr>
          <w:color w:val="000000"/>
        </w:rPr>
        <w:t xml:space="preserve"> Положення про навчальні кабінети.</w:t>
      </w: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Освітлення.</w:t>
      </w: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ІКТ, Інтернет, </w:t>
      </w:r>
      <w:proofErr w:type="spellStart"/>
      <w:r>
        <w:rPr>
          <w:color w:val="000000"/>
        </w:rPr>
        <w:t>WiFi</w:t>
      </w:r>
      <w:proofErr w:type="spellEnd"/>
    </w:p>
    <w:tbl>
      <w:tblPr>
        <w:tblStyle w:val="ad"/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91"/>
        <w:gridCol w:w="2268"/>
        <w:gridCol w:w="2268"/>
      </w:tblGrid>
      <w:tr w:rsidR="0000439D">
        <w:tc>
          <w:tcPr>
            <w:tcW w:w="449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Базове оснащення</w:t>
            </w:r>
          </w:p>
        </w:tc>
        <w:tc>
          <w:tcPr>
            <w:tcW w:w="226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Зміни</w:t>
            </w: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Кабінети інформатики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Сканери, принтери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Загальна кількість комп’ютерів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Мультимедійні центри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Спортивна зала. Спортивний майданчик</w:t>
      </w:r>
    </w:p>
    <w:tbl>
      <w:tblPr>
        <w:tblStyle w:val="ae"/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91"/>
        <w:gridCol w:w="2268"/>
        <w:gridCol w:w="2268"/>
      </w:tblGrid>
      <w:tr w:rsidR="0000439D">
        <w:tc>
          <w:tcPr>
            <w:tcW w:w="449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Базове оснащення</w:t>
            </w:r>
          </w:p>
        </w:tc>
        <w:tc>
          <w:tcPr>
            <w:tcW w:w="226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Зміни</w:t>
            </w:r>
          </w:p>
        </w:tc>
      </w:tr>
      <w:tr w:rsidR="0000439D">
        <w:tc>
          <w:tcPr>
            <w:tcW w:w="449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Електронні засоби навчання</w:t>
      </w:r>
    </w:p>
    <w:tbl>
      <w:tblPr>
        <w:tblStyle w:val="af"/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91"/>
        <w:gridCol w:w="2268"/>
        <w:gridCol w:w="2268"/>
      </w:tblGrid>
      <w:tr w:rsidR="0000439D">
        <w:tc>
          <w:tcPr>
            <w:tcW w:w="449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Базове оснащення</w:t>
            </w:r>
          </w:p>
        </w:tc>
        <w:tc>
          <w:tcPr>
            <w:tcW w:w="226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Зміни</w:t>
            </w: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Презентації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Відеоматеріали_______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Віртуальні лабораторії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449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Спеціалізовані web-сайти</w:t>
            </w: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Фінансування. Ефективність,  доцільність використання державних (та комунальних) надходжень. Використання спонсорських коштів </w:t>
      </w:r>
    </w:p>
    <w:tbl>
      <w:tblPr>
        <w:tblStyle w:val="af0"/>
        <w:tblW w:w="91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7"/>
        <w:gridCol w:w="1822"/>
        <w:gridCol w:w="1822"/>
        <w:gridCol w:w="1822"/>
        <w:gridCol w:w="1822"/>
      </w:tblGrid>
      <w:tr w:rsidR="0000439D">
        <w:tc>
          <w:tcPr>
            <w:tcW w:w="1847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Рік </w:t>
            </w:r>
          </w:p>
        </w:tc>
        <w:tc>
          <w:tcPr>
            <w:tcW w:w="182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Бюджетні надходження</w:t>
            </w:r>
          </w:p>
        </w:tc>
        <w:tc>
          <w:tcPr>
            <w:tcW w:w="182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Благодійні внески</w:t>
            </w:r>
          </w:p>
        </w:tc>
        <w:tc>
          <w:tcPr>
            <w:tcW w:w="182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Використано бюджетних надходжень</w:t>
            </w:r>
          </w:p>
        </w:tc>
        <w:tc>
          <w:tcPr>
            <w:tcW w:w="1822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Використано благодійних надходжень</w:t>
            </w:r>
          </w:p>
        </w:tc>
      </w:tr>
      <w:tr w:rsidR="0000439D">
        <w:tc>
          <w:tcPr>
            <w:tcW w:w="1847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1847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1847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1847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Оснащення кабінетів</w:t>
      </w:r>
    </w:p>
    <w:tbl>
      <w:tblPr>
        <w:tblStyle w:val="af1"/>
        <w:tblW w:w="91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1"/>
        <w:gridCol w:w="2996"/>
        <w:gridCol w:w="2918"/>
      </w:tblGrid>
      <w:tr w:rsidR="0000439D">
        <w:tc>
          <w:tcPr>
            <w:tcW w:w="3221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Кабінет (предметний/навчальний)</w:t>
            </w:r>
          </w:p>
        </w:tc>
        <w:tc>
          <w:tcPr>
            <w:tcW w:w="2996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Базове оснащення</w:t>
            </w:r>
          </w:p>
        </w:tc>
        <w:tc>
          <w:tcPr>
            <w:tcW w:w="291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Зміни</w:t>
            </w:r>
          </w:p>
        </w:tc>
      </w:tr>
      <w:tr w:rsidR="0000439D">
        <w:tc>
          <w:tcPr>
            <w:tcW w:w="322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96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0439D">
        <w:tc>
          <w:tcPr>
            <w:tcW w:w="3221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96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0439D" w:rsidRDefault="00613C26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Стан технічних приміщень</w:t>
      </w:r>
    </w:p>
    <w:tbl>
      <w:tblPr>
        <w:tblStyle w:val="af2"/>
        <w:tblW w:w="91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99"/>
        <w:gridCol w:w="2688"/>
        <w:gridCol w:w="2918"/>
      </w:tblGrid>
      <w:tr w:rsidR="0000439D">
        <w:tc>
          <w:tcPr>
            <w:tcW w:w="3499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Базовий рівень</w:t>
            </w:r>
          </w:p>
        </w:tc>
        <w:tc>
          <w:tcPr>
            <w:tcW w:w="2918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Перспектива, зміна, удосконалення</w:t>
            </w:r>
          </w:p>
        </w:tc>
      </w:tr>
      <w:tr w:rsidR="0000439D">
        <w:tc>
          <w:tcPr>
            <w:tcW w:w="349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Їдальня зала</w:t>
            </w:r>
          </w:p>
        </w:tc>
        <w:tc>
          <w:tcPr>
            <w:tcW w:w="268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>
        <w:tc>
          <w:tcPr>
            <w:tcW w:w="349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Туалетні кімнати</w:t>
            </w:r>
          </w:p>
        </w:tc>
        <w:tc>
          <w:tcPr>
            <w:tcW w:w="268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>
        <w:tc>
          <w:tcPr>
            <w:tcW w:w="349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зовнішнього спостереження</w:t>
            </w:r>
          </w:p>
        </w:tc>
        <w:tc>
          <w:tcPr>
            <w:tcW w:w="268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>
        <w:tc>
          <w:tcPr>
            <w:tcW w:w="349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Бібліотека:</w:t>
            </w:r>
          </w:p>
          <w:p w:rsidR="0000439D" w:rsidRDefault="00613C26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фонд;</w:t>
            </w:r>
          </w:p>
          <w:p w:rsidR="0000439D" w:rsidRDefault="00613C26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читальна зала.</w:t>
            </w:r>
          </w:p>
        </w:tc>
        <w:tc>
          <w:tcPr>
            <w:tcW w:w="268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>
        <w:tc>
          <w:tcPr>
            <w:tcW w:w="349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Кабінет психолога</w:t>
            </w:r>
          </w:p>
        </w:tc>
        <w:tc>
          <w:tcPr>
            <w:tcW w:w="268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>
        <w:tc>
          <w:tcPr>
            <w:tcW w:w="349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Кабінет соціального педагога</w:t>
            </w:r>
          </w:p>
        </w:tc>
        <w:tc>
          <w:tcPr>
            <w:tcW w:w="268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39D">
        <w:tc>
          <w:tcPr>
            <w:tcW w:w="3499" w:type="dxa"/>
          </w:tcPr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Медичний кабінет</w:t>
            </w:r>
          </w:p>
          <w:p w:rsidR="0000439D" w:rsidRDefault="00613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Методичний кабінет</w:t>
            </w:r>
          </w:p>
        </w:tc>
        <w:tc>
          <w:tcPr>
            <w:tcW w:w="268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00439D" w:rsidRDefault="000043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6.4. Якість проведення навчальних занять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Мета: отримати об’єктивну інформацію про стан  реалізації державних стандартів, процесів викладання предметів, проектування на основі моніторингових досліджень з підвищення якості викладання предметів.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Завдання:</w:t>
      </w:r>
    </w:p>
    <w:p w:rsidR="0000439D" w:rsidRDefault="00613C26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дослідити дотримання вчителями державних вимог до викладання предметів;</w:t>
      </w:r>
    </w:p>
    <w:p w:rsidR="0000439D" w:rsidRDefault="00613C26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дослідити впровадження основних підходів до проведення навчальних занять: компетентність, </w:t>
      </w:r>
      <w:proofErr w:type="spellStart"/>
      <w:r>
        <w:rPr>
          <w:color w:val="000000"/>
        </w:rPr>
        <w:t>діяльнісно</w:t>
      </w:r>
      <w:proofErr w:type="spellEnd"/>
      <w:r>
        <w:rPr>
          <w:color w:val="000000"/>
        </w:rPr>
        <w:t>, особистісно-зорієнтованого;</w:t>
      </w:r>
    </w:p>
    <w:p w:rsidR="0000439D" w:rsidRDefault="00613C26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об’єктивно оцінити роботу педагога та визначити об’єктивність системи оцінювання учнів, яку використовує вчитель;</w:t>
      </w:r>
    </w:p>
    <w:p w:rsidR="0000439D" w:rsidRDefault="00613C26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вивчити й узагальнити роботу педагога;</w:t>
      </w:r>
    </w:p>
    <w:p w:rsidR="0000439D" w:rsidRDefault="00613C26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з’ясувати раціональне використання в освітньому просторі матеріально-технічної бази;</w:t>
      </w:r>
    </w:p>
    <w:p w:rsidR="0000439D" w:rsidRDefault="00613C26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визначити ефективність занять з учнями в позаурочний час (гуртки, факультативи, консультації).</w:t>
      </w: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Аналіз навчальних занять здійснюється за параметрами: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Дотримання Державних стандартів освіти відповідного рівня, освітніх програм з предметів, інструктивно-методичних рекомендацій.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Наявність і якість календарного планування з предмета, граф-схеми, наявність плану  (освітній сценарій) навчального заняття. Відповідність навчального заняття календарно-тематичному плануванню. Ведення класного журналу (предметні сторінки).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Типологія навчальних занять. Аналіз структурних одиниць навчального заняття.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Проведення контрольних, практичних, лабораторних робіт.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Педагогічна майстерність учителя.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Аспектний аналіз навчального заняття (психологічний,мотиваційний).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Результативність навчальних занять у розрізі </w:t>
      </w:r>
      <w:proofErr w:type="spellStart"/>
      <w:r>
        <w:rPr>
          <w:color w:val="000000"/>
        </w:rPr>
        <w:t>компетентнісних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діяльнісних</w:t>
      </w:r>
      <w:proofErr w:type="spellEnd"/>
      <w:r>
        <w:rPr>
          <w:color w:val="000000"/>
        </w:rPr>
        <w:t xml:space="preserve">, особистісно-зорієнтованих підходів. 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Виховний аспект навчальних занять.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Техніка безпеки.</w:t>
      </w:r>
    </w:p>
    <w:p w:rsidR="0000439D" w:rsidRDefault="00613C26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Самоаналіз учителем навчального заняття.</w:t>
      </w:r>
    </w:p>
    <w:p w:rsidR="0000439D" w:rsidRDefault="0000439D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:rsidR="0000439D" w:rsidRDefault="00613C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6.5. Моніторинг досягнень учнями результатів навчання (</w:t>
      </w:r>
      <w:proofErr w:type="spellStart"/>
      <w:r>
        <w:rPr>
          <w:b/>
          <w:color w:val="000000"/>
        </w:rPr>
        <w:t>компетентностей</w:t>
      </w:r>
      <w:proofErr w:type="spellEnd"/>
      <w:r>
        <w:rPr>
          <w:b/>
          <w:color w:val="000000"/>
        </w:rPr>
        <w:t>)</w:t>
      </w:r>
    </w:p>
    <w:p w:rsidR="0000439D" w:rsidRDefault="0000439D">
      <w:pPr>
        <w:pStyle w:val="normal"/>
        <w:ind w:firstLine="709"/>
        <w:jc w:val="both"/>
        <w:rPr>
          <w:color w:val="000000"/>
        </w:rPr>
      </w:pP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Напрями моніторингу:</w:t>
      </w:r>
    </w:p>
    <w:p w:rsidR="0000439D" w:rsidRDefault="00613C26">
      <w:pPr>
        <w:pStyle w:val="normal"/>
        <w:numPr>
          <w:ilvl w:val="0"/>
          <w:numId w:val="26"/>
        </w:numPr>
        <w:ind w:left="426"/>
        <w:jc w:val="both"/>
        <w:rPr>
          <w:color w:val="000000"/>
        </w:rPr>
      </w:pPr>
      <w:r>
        <w:rPr>
          <w:color w:val="000000"/>
        </w:rPr>
        <w:t>моніторинг результативності навчання;</w:t>
      </w:r>
    </w:p>
    <w:p w:rsidR="0000439D" w:rsidRDefault="00613C26">
      <w:pPr>
        <w:pStyle w:val="normal"/>
        <w:numPr>
          <w:ilvl w:val="0"/>
          <w:numId w:val="26"/>
        </w:numPr>
        <w:ind w:left="426"/>
        <w:jc w:val="both"/>
        <w:rPr>
          <w:color w:val="000000"/>
        </w:rPr>
      </w:pPr>
      <w:r>
        <w:rPr>
          <w:color w:val="000000"/>
        </w:rPr>
        <w:t>предметний моніторинг;</w:t>
      </w:r>
    </w:p>
    <w:p w:rsidR="0000439D" w:rsidRDefault="00613C26">
      <w:pPr>
        <w:pStyle w:val="normal"/>
        <w:numPr>
          <w:ilvl w:val="0"/>
          <w:numId w:val="26"/>
        </w:numPr>
        <w:ind w:left="426"/>
        <w:jc w:val="both"/>
        <w:rPr>
          <w:color w:val="000000"/>
        </w:rPr>
      </w:pPr>
      <w:r>
        <w:rPr>
          <w:color w:val="000000"/>
        </w:rPr>
        <w:t>дослідження результативності участі учнів у ВУО, конкурсах, МАН, турнірах;</w:t>
      </w:r>
    </w:p>
    <w:p w:rsidR="0000439D" w:rsidRDefault="00613C26">
      <w:pPr>
        <w:pStyle w:val="normal"/>
        <w:numPr>
          <w:ilvl w:val="0"/>
          <w:numId w:val="26"/>
        </w:numPr>
        <w:ind w:left="426"/>
        <w:jc w:val="both"/>
        <w:rPr>
          <w:color w:val="000000"/>
        </w:rPr>
      </w:pPr>
      <w:r>
        <w:rPr>
          <w:color w:val="000000"/>
        </w:rPr>
        <w:t>результати ДПА, ЗНО.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Предметний моніторинг передбачає вивчення стану викладання та рівня навчальних досягнень учнів (графік додається, додаток 2).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При визначені навчальних досягнень учнів підлягають аналізу:</w:t>
      </w:r>
    </w:p>
    <w:p w:rsidR="0000439D" w:rsidRDefault="00613C26">
      <w:pPr>
        <w:pStyle w:val="normal"/>
        <w:numPr>
          <w:ilvl w:val="0"/>
          <w:numId w:val="17"/>
        </w:numPr>
        <w:jc w:val="both"/>
        <w:rPr>
          <w:color w:val="000000"/>
        </w:rPr>
      </w:pPr>
      <w:r>
        <w:rPr>
          <w:i/>
          <w:color w:val="000000"/>
        </w:rPr>
        <w:t>характеристика відповіді учня</w:t>
      </w:r>
      <w:r>
        <w:rPr>
          <w:color w:val="000000"/>
        </w:rPr>
        <w:t xml:space="preserve"> ( елементарна, фрагментарна, неповна, логічна, доказова, обґрунтована, творча);</w:t>
      </w:r>
    </w:p>
    <w:p w:rsidR="0000439D" w:rsidRDefault="00613C26">
      <w:pPr>
        <w:pStyle w:val="normal"/>
        <w:numPr>
          <w:ilvl w:val="0"/>
          <w:numId w:val="17"/>
        </w:numPr>
        <w:jc w:val="both"/>
        <w:rPr>
          <w:color w:val="000000"/>
        </w:rPr>
      </w:pPr>
      <w:r>
        <w:rPr>
          <w:i/>
          <w:color w:val="000000"/>
        </w:rPr>
        <w:t>якість знань</w:t>
      </w:r>
      <w:r>
        <w:rPr>
          <w:color w:val="000000"/>
        </w:rPr>
        <w:t xml:space="preserve">(правильність, повнота, осмисленість, глибина, гнучкість, дієвість, системність, узагальненість, міцність); </w:t>
      </w:r>
    </w:p>
    <w:p w:rsidR="0000439D" w:rsidRDefault="00613C26">
      <w:pPr>
        <w:pStyle w:val="normal"/>
        <w:numPr>
          <w:ilvl w:val="0"/>
          <w:numId w:val="17"/>
        </w:numPr>
        <w:jc w:val="both"/>
        <w:rPr>
          <w:color w:val="000000"/>
        </w:rPr>
      </w:pPr>
      <w:r>
        <w:rPr>
          <w:i/>
          <w:color w:val="000000"/>
        </w:rPr>
        <w:t xml:space="preserve">ступінь сформованості </w:t>
      </w:r>
      <w:proofErr w:type="spellStart"/>
      <w:r>
        <w:rPr>
          <w:i/>
          <w:color w:val="000000"/>
        </w:rPr>
        <w:t>загальнонавчальних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(навчально-організаційні, навчально-інтелектуальні, навчально-інформаційні, навчально-комунікативні) і</w:t>
      </w:r>
      <w:r>
        <w:rPr>
          <w:i/>
          <w:color w:val="000000"/>
        </w:rPr>
        <w:t xml:space="preserve"> предметних умінь та навичок;</w:t>
      </w:r>
    </w:p>
    <w:p w:rsidR="0000439D" w:rsidRDefault="00613C26">
      <w:pPr>
        <w:pStyle w:val="normal"/>
        <w:numPr>
          <w:ilvl w:val="0"/>
          <w:numId w:val="17"/>
        </w:numPr>
        <w:jc w:val="both"/>
        <w:rPr>
          <w:color w:val="000000"/>
        </w:rPr>
      </w:pPr>
      <w:r>
        <w:rPr>
          <w:i/>
          <w:color w:val="000000"/>
        </w:rPr>
        <w:lastRenderedPageBreak/>
        <w:t>рівень оволодіння розумовими операціями</w:t>
      </w:r>
      <w:r>
        <w:rPr>
          <w:color w:val="000000"/>
        </w:rPr>
        <w:t xml:space="preserve"> (уміння аналізувати, синтезувати, порівнювати, абстрагувати, узагальнювати, робити висновки тощо);</w:t>
      </w:r>
    </w:p>
    <w:p w:rsidR="0000439D" w:rsidRDefault="00613C26">
      <w:pPr>
        <w:pStyle w:val="normal"/>
        <w:numPr>
          <w:ilvl w:val="0"/>
          <w:numId w:val="17"/>
        </w:numPr>
        <w:ind w:left="426"/>
        <w:jc w:val="both"/>
        <w:rPr>
          <w:color w:val="000000"/>
        </w:rPr>
      </w:pPr>
      <w:r>
        <w:rPr>
          <w:i/>
          <w:color w:val="000000"/>
        </w:rPr>
        <w:t>ступінь самостійності учнів у навчальній діяльності</w:t>
      </w:r>
      <w:r>
        <w:rPr>
          <w:color w:val="000000"/>
        </w:rPr>
        <w:t>;</w:t>
      </w:r>
    </w:p>
    <w:p w:rsidR="0000439D" w:rsidRDefault="00613C26">
      <w:pPr>
        <w:pStyle w:val="normal"/>
        <w:numPr>
          <w:ilvl w:val="0"/>
          <w:numId w:val="17"/>
        </w:numPr>
        <w:jc w:val="both"/>
        <w:rPr>
          <w:color w:val="000000"/>
        </w:rPr>
      </w:pPr>
      <w:r>
        <w:rPr>
          <w:i/>
          <w:color w:val="000000"/>
        </w:rPr>
        <w:t xml:space="preserve">досвід творчої діяльності </w:t>
      </w:r>
      <w:r>
        <w:rPr>
          <w:color w:val="000000"/>
        </w:rPr>
        <w:t xml:space="preserve">(уміння виявляти та </w:t>
      </w:r>
      <w:proofErr w:type="spellStart"/>
      <w:r>
        <w:rPr>
          <w:color w:val="000000"/>
        </w:rPr>
        <w:t>роз’язуватипроблеми</w:t>
      </w:r>
      <w:proofErr w:type="spellEnd"/>
      <w:r>
        <w:rPr>
          <w:color w:val="000000"/>
        </w:rPr>
        <w:t>, формулювати гіпотези);</w:t>
      </w:r>
    </w:p>
    <w:p w:rsidR="0000439D" w:rsidRDefault="00613C26">
      <w:pPr>
        <w:pStyle w:val="normal"/>
        <w:numPr>
          <w:ilvl w:val="0"/>
          <w:numId w:val="17"/>
        </w:numPr>
        <w:jc w:val="both"/>
        <w:rPr>
          <w:color w:val="000000"/>
        </w:rPr>
      </w:pPr>
      <w:r>
        <w:rPr>
          <w:i/>
          <w:color w:val="000000"/>
        </w:rPr>
        <w:t>самостійність оціночних суджень</w:t>
      </w:r>
      <w:r>
        <w:rPr>
          <w:color w:val="000000"/>
        </w:rPr>
        <w:t>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Технологія моніторингового дослідження:</w:t>
      </w:r>
    </w:p>
    <w:p w:rsidR="0000439D" w:rsidRDefault="00613C26" w:rsidP="00613C26">
      <w:pPr>
        <w:pStyle w:val="normal"/>
        <w:numPr>
          <w:ilvl w:val="0"/>
          <w:numId w:val="18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вхідне діагностування - визначення якості освіти, набутої в попередніх класах, рівень закріплення набутих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 xml:space="preserve"> («залишкових знань»);</w:t>
      </w:r>
    </w:p>
    <w:p w:rsidR="0000439D" w:rsidRDefault="00613C26" w:rsidP="00613C26">
      <w:pPr>
        <w:pStyle w:val="normal"/>
        <w:numPr>
          <w:ilvl w:val="0"/>
          <w:numId w:val="18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проміжне діагностування (січень) - процес особистісно-орієнтованого супроводу учня протягом вивчення предмета, курсу, учня, проведення </w:t>
      </w:r>
      <w:proofErr w:type="spellStart"/>
      <w:r>
        <w:rPr>
          <w:color w:val="000000"/>
        </w:rPr>
        <w:t>корекційної</w:t>
      </w:r>
      <w:proofErr w:type="spellEnd"/>
      <w:r>
        <w:rPr>
          <w:color w:val="000000"/>
        </w:rPr>
        <w:t xml:space="preserve"> роботи з метою усунення виявлених труднощів на шляху підвищення якості освіти через набуття певних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>; організація самоосвітньої діяльності учнів, робота з обдарованими учнями. Проміжний (поточний) контроль вважаємо контрольні роботи за І семестр, дослідження розвитку реальних можливостей учнів за предметами: пізнавальна сфера (увага, пам’ять, інтелект), розвиток творчих здібностей, становлення особистісних якостей (мотивація до навчання, працелюбність, вихованість) НУШ 2 клас.</w:t>
      </w:r>
    </w:p>
    <w:p w:rsidR="0000439D" w:rsidRDefault="00613C26" w:rsidP="00613C26">
      <w:pPr>
        <w:pStyle w:val="normal"/>
        <w:numPr>
          <w:ilvl w:val="0"/>
          <w:numId w:val="18"/>
        </w:numPr>
        <w:ind w:left="0" w:firstLine="0"/>
        <w:jc w:val="both"/>
        <w:rPr>
          <w:color w:val="000000"/>
        </w:rPr>
      </w:pPr>
      <w:r>
        <w:rPr>
          <w:color w:val="000000"/>
        </w:rPr>
        <w:t>підсумковий етап моніторингу (ДПА, ЗНО, результати річного оцінювання).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Основні показники:</w:t>
      </w:r>
    </w:p>
    <w:p w:rsidR="0000439D" w:rsidRDefault="00613C26">
      <w:pPr>
        <w:pStyle w:val="normal"/>
        <w:numPr>
          <w:ilvl w:val="0"/>
          <w:numId w:val="19"/>
        </w:numPr>
        <w:ind w:left="426"/>
        <w:jc w:val="both"/>
        <w:rPr>
          <w:color w:val="000000"/>
        </w:rPr>
      </w:pPr>
      <w:r>
        <w:rPr>
          <w:color w:val="000000"/>
        </w:rPr>
        <w:t>кількість учнів за рівнями навчальних досягнень;</w:t>
      </w:r>
    </w:p>
    <w:p w:rsidR="0000439D" w:rsidRDefault="00613C26">
      <w:pPr>
        <w:pStyle w:val="normal"/>
        <w:numPr>
          <w:ilvl w:val="0"/>
          <w:numId w:val="19"/>
        </w:numPr>
        <w:ind w:left="426"/>
        <w:jc w:val="both"/>
        <w:rPr>
          <w:color w:val="000000"/>
        </w:rPr>
      </w:pPr>
      <w:r>
        <w:rPr>
          <w:color w:val="000000"/>
        </w:rPr>
        <w:t>успішність засвоєння учнями навчального матеріалу;</w:t>
      </w:r>
    </w:p>
    <w:p w:rsidR="0000439D" w:rsidRDefault="00613C26">
      <w:pPr>
        <w:pStyle w:val="normal"/>
        <w:numPr>
          <w:ilvl w:val="0"/>
          <w:numId w:val="19"/>
        </w:numPr>
        <w:ind w:left="426"/>
        <w:jc w:val="both"/>
        <w:rPr>
          <w:color w:val="000000"/>
        </w:rPr>
      </w:pPr>
      <w:r>
        <w:rPr>
          <w:color w:val="000000"/>
        </w:rPr>
        <w:t>якість засвоєння;</w:t>
      </w:r>
    </w:p>
    <w:p w:rsidR="0000439D" w:rsidRDefault="00613C26">
      <w:pPr>
        <w:pStyle w:val="normal"/>
        <w:numPr>
          <w:ilvl w:val="0"/>
          <w:numId w:val="19"/>
        </w:numPr>
        <w:ind w:left="426"/>
        <w:jc w:val="both"/>
        <w:rPr>
          <w:color w:val="000000"/>
        </w:rPr>
      </w:pPr>
      <w:r>
        <w:rPr>
          <w:color w:val="000000"/>
        </w:rPr>
        <w:t>динаміка змін успішності окремого учня.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За результатами моніторингового дослідження:</w:t>
      </w:r>
    </w:p>
    <w:p w:rsidR="0000439D" w:rsidRDefault="00613C26">
      <w:pPr>
        <w:pStyle w:val="normal"/>
        <w:numPr>
          <w:ilvl w:val="1"/>
          <w:numId w:val="20"/>
        </w:numPr>
        <w:ind w:left="1434" w:hanging="357"/>
        <w:jc w:val="both"/>
        <w:rPr>
          <w:color w:val="000000"/>
        </w:rPr>
      </w:pPr>
      <w:r>
        <w:rPr>
          <w:color w:val="000000"/>
        </w:rPr>
        <w:t>аналіз умов проведення моніторингу;</w:t>
      </w:r>
    </w:p>
    <w:p w:rsidR="0000439D" w:rsidRDefault="00613C26">
      <w:pPr>
        <w:pStyle w:val="normal"/>
        <w:numPr>
          <w:ilvl w:val="1"/>
          <w:numId w:val="20"/>
        </w:numPr>
        <w:ind w:left="1434" w:hanging="357"/>
        <w:jc w:val="both"/>
        <w:rPr>
          <w:color w:val="000000"/>
        </w:rPr>
      </w:pPr>
      <w:r>
        <w:rPr>
          <w:color w:val="000000"/>
        </w:rPr>
        <w:t>аналіз результатів  освітнього моніторингу;</w:t>
      </w:r>
    </w:p>
    <w:p w:rsidR="0000439D" w:rsidRDefault="00613C26">
      <w:pPr>
        <w:pStyle w:val="normal"/>
        <w:numPr>
          <w:ilvl w:val="1"/>
          <w:numId w:val="20"/>
        </w:numPr>
        <w:ind w:left="1434" w:hanging="357"/>
        <w:jc w:val="both"/>
        <w:rPr>
          <w:color w:val="000000"/>
        </w:rPr>
      </w:pPr>
      <w:r>
        <w:rPr>
          <w:color w:val="000000"/>
        </w:rPr>
        <w:t>визначення позитивних і негативних тенденцій;</w:t>
      </w:r>
    </w:p>
    <w:p w:rsidR="0000439D" w:rsidRDefault="00613C26">
      <w:pPr>
        <w:pStyle w:val="normal"/>
        <w:numPr>
          <w:ilvl w:val="1"/>
          <w:numId w:val="20"/>
        </w:numPr>
        <w:ind w:left="1434" w:hanging="357"/>
        <w:jc w:val="both"/>
        <w:rPr>
          <w:color w:val="000000"/>
        </w:rPr>
      </w:pPr>
      <w:r>
        <w:rPr>
          <w:color w:val="000000"/>
        </w:rPr>
        <w:t xml:space="preserve">підготовка рекомендацій для організації </w:t>
      </w:r>
      <w:proofErr w:type="spellStart"/>
      <w:r>
        <w:rPr>
          <w:color w:val="000000"/>
        </w:rPr>
        <w:t>корекційної</w:t>
      </w:r>
      <w:proofErr w:type="spellEnd"/>
      <w:r>
        <w:rPr>
          <w:color w:val="000000"/>
        </w:rPr>
        <w:t xml:space="preserve">  роботи;</w:t>
      </w:r>
    </w:p>
    <w:p w:rsidR="0000439D" w:rsidRDefault="00613C26">
      <w:pPr>
        <w:pStyle w:val="normal"/>
        <w:numPr>
          <w:ilvl w:val="1"/>
          <w:numId w:val="20"/>
        </w:numPr>
        <w:ind w:left="1434" w:hanging="357"/>
        <w:jc w:val="both"/>
        <w:rPr>
          <w:color w:val="000000"/>
        </w:rPr>
      </w:pPr>
      <w:r>
        <w:rPr>
          <w:color w:val="000000"/>
        </w:rPr>
        <w:t>прийняття управлінських  рішень;</w:t>
      </w:r>
    </w:p>
    <w:p w:rsidR="0000439D" w:rsidRDefault="00613C26">
      <w:pPr>
        <w:pStyle w:val="normal"/>
        <w:numPr>
          <w:ilvl w:val="1"/>
          <w:numId w:val="20"/>
        </w:numPr>
        <w:ind w:left="1434" w:hanging="357"/>
        <w:jc w:val="both"/>
        <w:rPr>
          <w:color w:val="000000"/>
        </w:rPr>
      </w:pPr>
      <w:r>
        <w:rPr>
          <w:color w:val="000000"/>
        </w:rPr>
        <w:t>визначення пріоритетних напрямків діяльності.</w:t>
      </w:r>
    </w:p>
    <w:p w:rsidR="0000439D" w:rsidRDefault="00613C26">
      <w:pPr>
        <w:pStyle w:val="normal"/>
        <w:ind w:firstLine="709"/>
        <w:jc w:val="both"/>
        <w:rPr>
          <w:color w:val="000000"/>
        </w:rPr>
      </w:pPr>
      <w:proofErr w:type="spellStart"/>
      <w:r>
        <w:rPr>
          <w:i/>
          <w:color w:val="000000"/>
          <w:u w:val="single"/>
        </w:rPr>
        <w:t>Корекційна</w:t>
      </w:r>
      <w:proofErr w:type="spellEnd"/>
      <w:r>
        <w:rPr>
          <w:i/>
          <w:color w:val="000000"/>
          <w:u w:val="single"/>
        </w:rPr>
        <w:t xml:space="preserve"> робота</w:t>
      </w:r>
      <w:r>
        <w:rPr>
          <w:color w:val="000000"/>
        </w:rPr>
        <w:t xml:space="preserve"> за результатами моніторингу включає складання індивідуальних </w:t>
      </w:r>
      <w:proofErr w:type="spellStart"/>
      <w:r>
        <w:rPr>
          <w:color w:val="000000"/>
        </w:rPr>
        <w:t>корекційних</w:t>
      </w:r>
      <w:proofErr w:type="spellEnd"/>
      <w:r>
        <w:rPr>
          <w:color w:val="000000"/>
        </w:rPr>
        <w:t xml:space="preserve"> програм для учнів,  у  яких необхідно:</w:t>
      </w:r>
    </w:p>
    <w:p w:rsidR="0000439D" w:rsidRDefault="00613C26"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враховувати проблеми учня в засвоєнні навчального матеріалу з даної теми, рівень сформованості спеціальних, </w:t>
      </w:r>
      <w:proofErr w:type="spellStart"/>
      <w:r>
        <w:rPr>
          <w:color w:val="000000"/>
        </w:rPr>
        <w:t>загальнонавчальних</w:t>
      </w:r>
      <w:proofErr w:type="spellEnd"/>
      <w:r>
        <w:rPr>
          <w:color w:val="000000"/>
        </w:rPr>
        <w:t xml:space="preserve"> умінь і навичок;</w:t>
      </w:r>
    </w:p>
    <w:p w:rsidR="0000439D" w:rsidRDefault="00613C26"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спланувати реальні перспективи підвищення рівня  навчальних досягнень учня в результаті проведеної корекції;</w:t>
      </w:r>
    </w:p>
    <w:p w:rsidR="0000439D" w:rsidRDefault="00613C26"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визначити напрямки корекції  з  даної  теми;</w:t>
      </w:r>
    </w:p>
    <w:p w:rsidR="0000439D" w:rsidRDefault="00613C26"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визначити види й форми роботи, послідовність їх виконання.</w:t>
      </w:r>
    </w:p>
    <w:p w:rsidR="0000439D" w:rsidRDefault="00613C26">
      <w:pPr>
        <w:pStyle w:val="normal"/>
        <w:jc w:val="both"/>
      </w:pPr>
      <w:r>
        <w:br w:type="page"/>
      </w:r>
    </w:p>
    <w:p w:rsidR="0000439D" w:rsidRDefault="00613C26">
      <w:pPr>
        <w:pStyle w:val="normal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Додаток </w:t>
      </w:r>
    </w:p>
    <w:p w:rsidR="0000439D" w:rsidRDefault="00613C26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ПЛАН-ГРАФІК</w:t>
      </w:r>
    </w:p>
    <w:p w:rsidR="0000439D" w:rsidRDefault="00613C26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вивчення стану викладання та рівня навчальних досягнень учнів з окремих предметів</w:t>
      </w:r>
    </w:p>
    <w:tbl>
      <w:tblPr>
        <w:tblW w:w="10131" w:type="dxa"/>
        <w:tblInd w:w="-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70"/>
        <w:gridCol w:w="1809"/>
        <w:gridCol w:w="2977"/>
        <w:gridCol w:w="1134"/>
        <w:gridCol w:w="1134"/>
        <w:gridCol w:w="1276"/>
        <w:gridCol w:w="1601"/>
      </w:tblGrid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pStyle w:val="af6"/>
              <w:rPr>
                <w:rFonts w:hint="eastAsi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Освітня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галузь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2019/</w:t>
            </w:r>
          </w:p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2020/</w:t>
            </w:r>
          </w:p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2021/</w:t>
            </w:r>
          </w:p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2022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2022/</w:t>
            </w:r>
          </w:p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2023</w:t>
            </w: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літератури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6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Іноземна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</w:rPr>
              <w:t>анг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нім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націанальних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менши</w:t>
            </w:r>
            <w:proofErr w:type="gram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російська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грамоти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Літературне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читання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читання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Зарубіжна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 xml:space="preserve">Алгебра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геометрія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Суспільствознавство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Всесвітня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історія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Громадянська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правознавства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Технологічна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 xml:space="preserve">Дизайн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технології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Лютий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Трудове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Лютий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технології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Лютий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Природознавство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Природознавство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Хімія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Фізика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Фізика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астрономія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листопад</w:t>
            </w: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Біологія</w:t>
            </w:r>
            <w:proofErr w:type="spellEnd"/>
            <w:proofErr w:type="gramStart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іологія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екологія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Географія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лютий</w:t>
            </w:r>
            <w:proofErr w:type="spellEnd"/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Музичне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Образотворче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Мистецтво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Інформатична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Інформатика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лютий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Здоров'я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фізична</w:t>
            </w:r>
            <w:proofErr w:type="spellEnd"/>
            <w:r>
              <w:rPr>
                <w:color w:val="000000"/>
              </w:rPr>
              <w:t xml:space="preserve"> культура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Фізична</w:t>
            </w:r>
            <w:proofErr w:type="spellEnd"/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здоров'я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Лютий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 xml:space="preserve">Я </w:t>
            </w:r>
            <w:proofErr w:type="spellStart"/>
            <w:proofErr w:type="gramStart"/>
            <w:r>
              <w:rPr>
                <w:color w:val="000000"/>
              </w:rPr>
              <w:t>досл</w:t>
            </w:r>
            <w:proofErr w:type="gramEnd"/>
            <w:r>
              <w:rPr>
                <w:color w:val="000000"/>
              </w:rPr>
              <w:t>іджую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r>
              <w:rPr>
                <w:color w:val="000000"/>
              </w:rPr>
              <w:t xml:space="preserve">Я </w:t>
            </w:r>
            <w:proofErr w:type="spellStart"/>
            <w:proofErr w:type="gramStart"/>
            <w:r>
              <w:rPr>
                <w:color w:val="000000"/>
              </w:rPr>
              <w:t>досл</w:t>
            </w:r>
            <w:proofErr w:type="gramEnd"/>
            <w:r>
              <w:rPr>
                <w:color w:val="000000"/>
              </w:rPr>
              <w:t>іджую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Грудень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Грудень</w:t>
            </w:r>
            <w:proofErr w:type="spellEnd"/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Грудень</w:t>
            </w:r>
            <w:proofErr w:type="spellEnd"/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Курси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вибором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Креслення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Лютий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Харківщинознавство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Січень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</w:tr>
      <w:tr w:rsidR="009A12CB" w:rsidTr="009A12CB">
        <w:tc>
          <w:tcPr>
            <w:tcW w:w="130" w:type="dxa"/>
            <w:shd w:val="clear" w:color="auto" w:fill="auto"/>
          </w:tcPr>
          <w:p w:rsidR="009A12CB" w:rsidRDefault="009A12CB" w:rsidP="00AD243B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Захист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CB" w:rsidRDefault="009A12CB" w:rsidP="00AD243B">
            <w:pPr>
              <w:pStyle w:val="af5"/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A12CB" w:rsidTr="009A1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9931" w:type="dxa"/>
          <w:trHeight w:val="2490"/>
        </w:trPr>
        <w:tc>
          <w:tcPr>
            <w:tcW w:w="200" w:type="dxa"/>
            <w:gridSpan w:val="2"/>
            <w:shd w:val="clear" w:color="auto" w:fill="auto"/>
          </w:tcPr>
          <w:p w:rsidR="009A12CB" w:rsidRDefault="009A12CB" w:rsidP="00AD243B">
            <w:pPr>
              <w:snapToGrid w:val="0"/>
              <w:rPr>
                <w:b/>
                <w:color w:val="000000"/>
              </w:rPr>
            </w:pPr>
          </w:p>
        </w:tc>
      </w:tr>
    </w:tbl>
    <w:p w:rsidR="0000439D" w:rsidRDefault="0000439D" w:rsidP="009A12CB">
      <w:pPr>
        <w:pStyle w:val="normal"/>
        <w:rPr>
          <w:b/>
          <w:color w:val="000000"/>
        </w:rPr>
      </w:pPr>
    </w:p>
    <w:sectPr w:rsidR="0000439D" w:rsidSect="000043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F1"/>
    <w:multiLevelType w:val="multilevel"/>
    <w:tmpl w:val="AA6C67E8"/>
    <w:lvl w:ilvl="0">
      <w:start w:val="1"/>
      <w:numFmt w:val="bullet"/>
      <w:lvlText w:val="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760139"/>
    <w:multiLevelType w:val="multilevel"/>
    <w:tmpl w:val="1B38B79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FD398A"/>
    <w:multiLevelType w:val="multilevel"/>
    <w:tmpl w:val="41582848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6D46D1"/>
    <w:multiLevelType w:val="multilevel"/>
    <w:tmpl w:val="FB963980"/>
    <w:lvl w:ilvl="0">
      <w:start w:val="1"/>
      <w:numFmt w:val="bullet"/>
      <w:lvlText w:val="❖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1D2C35"/>
    <w:multiLevelType w:val="multilevel"/>
    <w:tmpl w:val="5F6E6328"/>
    <w:lvl w:ilvl="0">
      <w:start w:val="1"/>
      <w:numFmt w:val="bullet"/>
      <w:lvlText w:val="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4D2C36"/>
    <w:multiLevelType w:val="multilevel"/>
    <w:tmpl w:val="B7E675E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>
    <w:nsid w:val="12AA40E1"/>
    <w:multiLevelType w:val="multilevel"/>
    <w:tmpl w:val="6FB617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288E"/>
    <w:multiLevelType w:val="multilevel"/>
    <w:tmpl w:val="1924D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8650BCD"/>
    <w:multiLevelType w:val="multilevel"/>
    <w:tmpl w:val="D76CC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EB7CB5"/>
    <w:multiLevelType w:val="multilevel"/>
    <w:tmpl w:val="E946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217D2"/>
    <w:multiLevelType w:val="multilevel"/>
    <w:tmpl w:val="1CD8F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320F"/>
    <w:multiLevelType w:val="multilevel"/>
    <w:tmpl w:val="424CB4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48C2"/>
    <w:multiLevelType w:val="multilevel"/>
    <w:tmpl w:val="D974BC5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E24587F"/>
    <w:multiLevelType w:val="multilevel"/>
    <w:tmpl w:val="B66497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34FC5B77"/>
    <w:multiLevelType w:val="multilevel"/>
    <w:tmpl w:val="618A86E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BC774FC"/>
    <w:multiLevelType w:val="multilevel"/>
    <w:tmpl w:val="74EE2C84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550514F"/>
    <w:multiLevelType w:val="multilevel"/>
    <w:tmpl w:val="0C64A8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6DD5847"/>
    <w:multiLevelType w:val="multilevel"/>
    <w:tmpl w:val="EE329B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A9E5AC7"/>
    <w:multiLevelType w:val="multilevel"/>
    <w:tmpl w:val="8BF0E4BE"/>
    <w:lvl w:ilvl="0">
      <w:start w:val="1"/>
      <w:numFmt w:val="bullet"/>
      <w:lvlText w:val="❖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4CA142E"/>
    <w:multiLevelType w:val="multilevel"/>
    <w:tmpl w:val="DAF46D5E"/>
    <w:lvl w:ilvl="0">
      <w:start w:val="1"/>
      <w:numFmt w:val="bullet"/>
      <w:lvlText w:val="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5AA323C"/>
    <w:multiLevelType w:val="multilevel"/>
    <w:tmpl w:val="EABEF78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6FD5F12"/>
    <w:multiLevelType w:val="multilevel"/>
    <w:tmpl w:val="DCB21C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AAF3D91"/>
    <w:multiLevelType w:val="multilevel"/>
    <w:tmpl w:val="2CF06FE8"/>
    <w:lvl w:ilvl="0">
      <w:start w:val="1"/>
      <w:numFmt w:val="bullet"/>
      <w:lvlText w:val="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ADD2CA4"/>
    <w:multiLevelType w:val="multilevel"/>
    <w:tmpl w:val="71A4FFB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23D0BEB"/>
    <w:multiLevelType w:val="multilevel"/>
    <w:tmpl w:val="E2EAD632"/>
    <w:lvl w:ilvl="0">
      <w:start w:val="1"/>
      <w:numFmt w:val="decimal"/>
      <w:lvlText w:val="%1."/>
      <w:lvlJc w:val="left"/>
      <w:pPr>
        <w:ind w:left="170" w:hanging="1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2556F"/>
    <w:multiLevelType w:val="multilevel"/>
    <w:tmpl w:val="BBA43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7A8C"/>
    <w:multiLevelType w:val="multilevel"/>
    <w:tmpl w:val="470609BE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7C955DF"/>
    <w:multiLevelType w:val="multilevel"/>
    <w:tmpl w:val="4948E3D4"/>
    <w:lvl w:ilvl="0">
      <w:start w:val="1"/>
      <w:numFmt w:val="bullet"/>
      <w:lvlText w:val="−"/>
      <w:lvlJc w:val="left"/>
      <w:pPr>
        <w:ind w:left="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8AB02E4"/>
    <w:multiLevelType w:val="multilevel"/>
    <w:tmpl w:val="1B88781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CF5132B"/>
    <w:multiLevelType w:val="multilevel"/>
    <w:tmpl w:val="153C0C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F31778"/>
    <w:multiLevelType w:val="multilevel"/>
    <w:tmpl w:val="31A8502A"/>
    <w:lvl w:ilvl="0">
      <w:start w:val="1"/>
      <w:numFmt w:val="bullet"/>
      <w:lvlText w:val="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16"/>
  </w:num>
  <w:num w:numId="5">
    <w:abstractNumId w:val="24"/>
  </w:num>
  <w:num w:numId="6">
    <w:abstractNumId w:val="27"/>
  </w:num>
  <w:num w:numId="7">
    <w:abstractNumId w:val="29"/>
  </w:num>
  <w:num w:numId="8">
    <w:abstractNumId w:val="5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20"/>
  </w:num>
  <w:num w:numId="15">
    <w:abstractNumId w:val="23"/>
  </w:num>
  <w:num w:numId="16">
    <w:abstractNumId w:val="21"/>
  </w:num>
  <w:num w:numId="17">
    <w:abstractNumId w:val="1"/>
  </w:num>
  <w:num w:numId="18">
    <w:abstractNumId w:val="18"/>
  </w:num>
  <w:num w:numId="19">
    <w:abstractNumId w:val="0"/>
  </w:num>
  <w:num w:numId="20">
    <w:abstractNumId w:val="26"/>
  </w:num>
  <w:num w:numId="21">
    <w:abstractNumId w:val="30"/>
  </w:num>
  <w:num w:numId="22">
    <w:abstractNumId w:val="25"/>
  </w:num>
  <w:num w:numId="23">
    <w:abstractNumId w:val="9"/>
  </w:num>
  <w:num w:numId="24">
    <w:abstractNumId w:val="10"/>
  </w:num>
  <w:num w:numId="25">
    <w:abstractNumId w:val="2"/>
  </w:num>
  <w:num w:numId="26">
    <w:abstractNumId w:val="22"/>
  </w:num>
  <w:num w:numId="27">
    <w:abstractNumId w:val="15"/>
  </w:num>
  <w:num w:numId="28">
    <w:abstractNumId w:val="11"/>
  </w:num>
  <w:num w:numId="29">
    <w:abstractNumId w:val="17"/>
  </w:num>
  <w:num w:numId="30">
    <w:abstractNumId w:val="1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0439D"/>
    <w:rsid w:val="0000439D"/>
    <w:rsid w:val="00521BFD"/>
    <w:rsid w:val="00613C26"/>
    <w:rsid w:val="009A12CB"/>
    <w:rsid w:val="00AD0B9C"/>
    <w:rsid w:val="00A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9C"/>
  </w:style>
  <w:style w:type="paragraph" w:styleId="1">
    <w:name w:val="heading 1"/>
    <w:basedOn w:val="normal"/>
    <w:next w:val="normal"/>
    <w:rsid w:val="000043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43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43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43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043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043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439D"/>
  </w:style>
  <w:style w:type="table" w:customStyle="1" w:styleId="TableNormal">
    <w:name w:val="Table Normal"/>
    <w:rsid w:val="000043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43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043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0439D"/>
    <w:pPr>
      <w:ind w:left="709" w:hanging="357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439D"/>
    <w:pPr>
      <w:ind w:left="709" w:hanging="357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439D"/>
    <w:pPr>
      <w:ind w:left="709" w:hanging="357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04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0439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4">
    <w:basedOn w:val="TableNormal"/>
    <w:rsid w:val="0000439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af5">
    <w:name w:val="Вміст таблиці"/>
    <w:basedOn w:val="a"/>
    <w:next w:val="af6"/>
    <w:rsid w:val="009A12CB"/>
    <w:pPr>
      <w:suppressLineNumbers/>
      <w:suppressAutoHyphens/>
    </w:pPr>
    <w:rPr>
      <w:sz w:val="20"/>
      <w:szCs w:val="20"/>
      <w:lang w:val="ru-RU" w:eastAsia="zh-CN"/>
    </w:rPr>
  </w:style>
  <w:style w:type="paragraph" w:customStyle="1" w:styleId="af6">
    <w:name w:val="Заголовок таблиці"/>
    <w:next w:val="a"/>
    <w:rsid w:val="009A12CB"/>
    <w:pPr>
      <w:widowControl w:val="0"/>
      <w:suppressLineNumbers/>
      <w:suppressAutoHyphens/>
      <w:jc w:val="center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7">
    <w:name w:val="Содержимое таблицы"/>
    <w:basedOn w:val="a"/>
    <w:rsid w:val="00521BFD"/>
    <w:pPr>
      <w:suppressLineNumbers/>
      <w:suppressAutoHyphens/>
    </w:pPr>
    <w:rPr>
      <w:kern w:val="2"/>
      <w:lang w:eastAsia="zh-CN" w:bidi="hi-IN"/>
    </w:rPr>
  </w:style>
  <w:style w:type="paragraph" w:customStyle="1" w:styleId="TableParagraph">
    <w:name w:val="Table Paragraph"/>
    <w:basedOn w:val="a"/>
    <w:rsid w:val="00521BFD"/>
    <w:pPr>
      <w:suppressAutoHyphens/>
      <w:ind w:left="110"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2021-03-08T08:21:00Z</dcterms:created>
  <dcterms:modified xsi:type="dcterms:W3CDTF">2021-03-08T10:16:00Z</dcterms:modified>
</cp:coreProperties>
</file>